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6" w:type="dxa"/>
        <w:tblInd w:w="-5" w:type="dxa"/>
        <w:tblLook w:val="01E0" w:firstRow="1" w:lastRow="1" w:firstColumn="1" w:lastColumn="1" w:noHBand="0" w:noVBand="0"/>
      </w:tblPr>
      <w:tblGrid>
        <w:gridCol w:w="1114"/>
        <w:gridCol w:w="8922"/>
      </w:tblGrid>
      <w:tr w:rsidR="000E0432" w:rsidRPr="00C07749" w14:paraId="2CA51255" w14:textId="77777777" w:rsidTr="00E4650F">
        <w:trPr>
          <w:trHeight w:val="964"/>
        </w:trPr>
        <w:tc>
          <w:tcPr>
            <w:tcW w:w="1114" w:type="dxa"/>
            <w:vAlign w:val="center"/>
          </w:tcPr>
          <w:p w14:paraId="6EDDD973" w14:textId="094DB52E" w:rsidR="000E0432" w:rsidRPr="00AA2638" w:rsidRDefault="006D5864" w:rsidP="00322805">
            <w:pPr>
              <w:keepNext/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6"/>
              <w:rPr>
                <w:rFonts w:ascii="Calibri" w:eastAsia="Times New Roman" w:hAnsi="Calibri" w:cs="Arial"/>
                <w:i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szCs w:val="20"/>
                <w:lang w:eastAsia="pl-PL"/>
              </w:rPr>
              <w:t>2</w:t>
            </w:r>
            <w:r w:rsidR="000E0432" w:rsidRPr="00AA2638">
              <w:rPr>
                <w:rFonts w:ascii="Calibri" w:eastAsia="Times New Roman" w:hAnsi="Calibri" w:cs="Arial"/>
                <w:i/>
                <w:szCs w:val="20"/>
                <w:lang w:eastAsia="pl-PL"/>
              </w:rPr>
              <w:t>/201</w:t>
            </w:r>
            <w:r w:rsidR="001A1B7B">
              <w:rPr>
                <w:rFonts w:ascii="Calibri" w:eastAsia="Times New Roman" w:hAnsi="Calibri" w:cs="Arial"/>
                <w:i/>
                <w:szCs w:val="20"/>
                <w:lang w:eastAsia="pl-PL"/>
              </w:rPr>
              <w:t>8</w:t>
            </w:r>
          </w:p>
        </w:tc>
        <w:tc>
          <w:tcPr>
            <w:tcW w:w="8922" w:type="dxa"/>
            <w:vAlign w:val="center"/>
          </w:tcPr>
          <w:p w14:paraId="4FEC05BD" w14:textId="00C49344" w:rsidR="000E0432" w:rsidRPr="00C07749" w:rsidRDefault="000E0432" w:rsidP="00C07749">
            <w:pPr>
              <w:keepNext/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6"/>
              <w:rPr>
                <w:rFonts w:ascii="Calibri" w:eastAsia="Times New Roman" w:hAnsi="Calibri" w:cs="Arial"/>
                <w:i/>
                <w:szCs w:val="20"/>
                <w:lang w:eastAsia="pl-PL"/>
              </w:rPr>
            </w:pPr>
            <w:r w:rsidRPr="00C07749">
              <w:rPr>
                <w:rFonts w:ascii="Calibri" w:eastAsia="Times New Roman" w:hAnsi="Calibri" w:cs="Arial"/>
                <w:i/>
                <w:szCs w:val="20"/>
                <w:lang w:eastAsia="pl-PL"/>
              </w:rPr>
              <w:t xml:space="preserve">Katowice, </w:t>
            </w:r>
            <w:r w:rsidR="0081171F">
              <w:rPr>
                <w:rFonts w:ascii="Calibri" w:eastAsia="Times New Roman" w:hAnsi="Calibri" w:cs="Arial"/>
                <w:i/>
                <w:szCs w:val="20"/>
                <w:lang w:eastAsia="pl-PL"/>
              </w:rPr>
              <w:t>26</w:t>
            </w:r>
            <w:bookmarkStart w:id="0" w:name="_GoBack"/>
            <w:bookmarkEnd w:id="0"/>
            <w:r w:rsidR="001A1B7B" w:rsidRPr="000303BC">
              <w:rPr>
                <w:rFonts w:ascii="Calibri" w:eastAsia="Times New Roman" w:hAnsi="Calibri" w:cs="Arial"/>
                <w:i/>
                <w:szCs w:val="20"/>
                <w:lang w:eastAsia="pl-PL"/>
              </w:rPr>
              <w:t xml:space="preserve"> </w:t>
            </w:r>
            <w:r w:rsidR="00507EED">
              <w:rPr>
                <w:rFonts w:ascii="Calibri" w:eastAsia="Times New Roman" w:hAnsi="Calibri" w:cs="Arial"/>
                <w:i/>
                <w:szCs w:val="20"/>
                <w:lang w:eastAsia="pl-PL"/>
              </w:rPr>
              <w:t>marca</w:t>
            </w:r>
            <w:r w:rsidR="001A1B7B" w:rsidRPr="000303BC">
              <w:rPr>
                <w:rFonts w:ascii="Calibri" w:eastAsia="Times New Roman" w:hAnsi="Calibri" w:cs="Arial"/>
                <w:i/>
                <w:szCs w:val="20"/>
                <w:lang w:eastAsia="pl-PL"/>
              </w:rPr>
              <w:t xml:space="preserve"> </w:t>
            </w:r>
            <w:r w:rsidRPr="00C07749">
              <w:rPr>
                <w:rFonts w:ascii="Calibri" w:eastAsia="Times New Roman" w:hAnsi="Calibri" w:cs="Arial"/>
                <w:i/>
                <w:szCs w:val="20"/>
                <w:lang w:eastAsia="pl-PL"/>
              </w:rPr>
              <w:t>201</w:t>
            </w:r>
            <w:r w:rsidR="001A1B7B">
              <w:rPr>
                <w:rFonts w:ascii="Calibri" w:eastAsia="Times New Roman" w:hAnsi="Calibri" w:cs="Arial"/>
                <w:i/>
                <w:szCs w:val="20"/>
                <w:lang w:eastAsia="pl-PL"/>
              </w:rPr>
              <w:t>8</w:t>
            </w:r>
          </w:p>
        </w:tc>
      </w:tr>
    </w:tbl>
    <w:p w14:paraId="53BD0538" w14:textId="77777777" w:rsidR="000E0432" w:rsidRPr="00AA2638" w:rsidRDefault="000E0432" w:rsidP="001C77EC">
      <w:pPr>
        <w:spacing w:after="240" w:line="24" w:lineRule="atLeast"/>
        <w:jc w:val="center"/>
        <w:rPr>
          <w:rFonts w:ascii="Calibri" w:eastAsia="Arial Unicode MS" w:hAnsi="Calibri" w:cs="Arial"/>
          <w:b/>
          <w:bCs/>
          <w:color w:val="000000"/>
          <w:sz w:val="28"/>
          <w:szCs w:val="20"/>
          <w:lang w:eastAsia="pl-PL"/>
        </w:rPr>
      </w:pPr>
      <w:r w:rsidRPr="00AA2638">
        <w:rPr>
          <w:rFonts w:ascii="Calibri" w:eastAsia="Arial Unicode MS" w:hAnsi="Calibri" w:cs="Arial"/>
          <w:b/>
          <w:bCs/>
          <w:color w:val="000000"/>
          <w:sz w:val="28"/>
          <w:szCs w:val="20"/>
          <w:lang w:eastAsia="pl-PL"/>
        </w:rPr>
        <w:t>Informacja dla dziennikarzy</w:t>
      </w:r>
    </w:p>
    <w:p w14:paraId="4FECB776" w14:textId="7AE02E23" w:rsidR="001C77EC" w:rsidRDefault="009462C6" w:rsidP="001C77EC">
      <w:pPr>
        <w:spacing w:after="0"/>
        <w:rPr>
          <w:b/>
          <w:sz w:val="28"/>
        </w:rPr>
      </w:pPr>
      <w:r>
        <w:rPr>
          <w:b/>
          <w:sz w:val="28"/>
        </w:rPr>
        <w:t>Nieużytki mogą stać się użyteczne</w:t>
      </w:r>
    </w:p>
    <w:p w14:paraId="157E13FB" w14:textId="4D876EF7" w:rsidR="001A1B7B" w:rsidRPr="001A1B7B" w:rsidRDefault="001C77EC" w:rsidP="001C77EC">
      <w:pPr>
        <w:spacing w:after="120"/>
        <w:rPr>
          <w:b/>
          <w:sz w:val="28"/>
        </w:rPr>
      </w:pPr>
      <w:r>
        <w:rPr>
          <w:b/>
          <w:sz w:val="28"/>
        </w:rPr>
        <w:t>N</w:t>
      </w:r>
      <w:r w:rsidR="001A1B7B" w:rsidRPr="001A1B7B">
        <w:rPr>
          <w:b/>
          <w:sz w:val="28"/>
        </w:rPr>
        <w:t xml:space="preserve">aukowcy </w:t>
      </w:r>
      <w:r w:rsidR="000A0B28">
        <w:rPr>
          <w:b/>
          <w:sz w:val="28"/>
        </w:rPr>
        <w:t xml:space="preserve">IETU </w:t>
      </w:r>
      <w:r w:rsidR="00302424">
        <w:rPr>
          <w:b/>
          <w:sz w:val="28"/>
        </w:rPr>
        <w:t>pracują nad wykorzystaniem terenów zdegradowanych do uprawy roślin energetycznych</w:t>
      </w:r>
    </w:p>
    <w:p w14:paraId="20D14779" w14:textId="32E9CC61" w:rsidR="005F743E" w:rsidRDefault="001F34D0" w:rsidP="000E4701">
      <w:pPr>
        <w:spacing w:after="120"/>
        <w:rPr>
          <w:rFonts w:ascii="Calibri" w:hAnsi="Calibri" w:cs="Arial"/>
          <w:b/>
        </w:rPr>
      </w:pPr>
      <w:r w:rsidRPr="00D6219F">
        <w:rPr>
          <w:rFonts w:ascii="Calibri" w:hAnsi="Calibri" w:cs="Arial"/>
          <w:b/>
        </w:rPr>
        <w:t xml:space="preserve">Do roku 2020 udział źródeł odnawialnych w produkcji energii w Polsce powinien wynieść 15 proc. </w:t>
      </w:r>
      <w:r w:rsidR="00510C85">
        <w:rPr>
          <w:rFonts w:ascii="Calibri" w:hAnsi="Calibri" w:cs="Arial"/>
          <w:b/>
        </w:rPr>
        <w:t>Województwo śląskie</w:t>
      </w:r>
      <w:r w:rsidR="00C4586E">
        <w:rPr>
          <w:rFonts w:ascii="Calibri" w:hAnsi="Calibri" w:cs="Arial"/>
          <w:b/>
        </w:rPr>
        <w:t>, mimo że kojarzy się z konwencjonalnymi źródłami energii, także stawia na innowacyjne technologie energetyczne i OZE</w:t>
      </w:r>
      <w:r w:rsidR="005B3DED">
        <w:rPr>
          <w:rFonts w:ascii="Calibri" w:hAnsi="Calibri" w:cs="Arial"/>
          <w:b/>
        </w:rPr>
        <w:t>,</w:t>
      </w:r>
      <w:r w:rsidR="00C4586E">
        <w:rPr>
          <w:rFonts w:ascii="Calibri" w:hAnsi="Calibri" w:cs="Arial"/>
          <w:b/>
        </w:rPr>
        <w:t xml:space="preserve"> jako jeden z obszarów inteligentnych specjalizacji. </w:t>
      </w:r>
      <w:r w:rsidR="00156EAA" w:rsidRPr="00443B2B">
        <w:rPr>
          <w:rFonts w:ascii="Calibri" w:hAnsi="Calibri" w:cs="Calibri"/>
          <w:b/>
        </w:rPr>
        <w:t>W</w:t>
      </w:r>
      <w:r w:rsidR="005B3DED">
        <w:rPr>
          <w:rFonts w:ascii="Calibri" w:hAnsi="Calibri" w:cs="Calibri"/>
          <w:b/>
        </w:rPr>
        <w:t> </w:t>
      </w:r>
      <w:r w:rsidR="00156EAA" w:rsidRPr="00443B2B">
        <w:rPr>
          <w:rFonts w:ascii="Calibri" w:hAnsi="Calibri" w:cs="Calibri"/>
          <w:b/>
        </w:rPr>
        <w:t xml:space="preserve">Instytucie Ekologii Terenów Uprzemysłowionych </w:t>
      </w:r>
      <w:r w:rsidR="00C4586E">
        <w:rPr>
          <w:rFonts w:ascii="Calibri" w:hAnsi="Calibri" w:cs="Calibri"/>
          <w:b/>
        </w:rPr>
        <w:t xml:space="preserve">w Katowicach </w:t>
      </w:r>
      <w:r w:rsidR="00156EAA" w:rsidRPr="00443B2B">
        <w:rPr>
          <w:rFonts w:ascii="Calibri" w:hAnsi="Calibri" w:cs="Calibri"/>
          <w:b/>
        </w:rPr>
        <w:t xml:space="preserve">trwają badania nad </w:t>
      </w:r>
      <w:r w:rsidR="00156EAA" w:rsidRPr="00443B2B">
        <w:rPr>
          <w:rFonts w:ascii="Calibri" w:hAnsi="Calibri" w:cs="Arial"/>
          <w:b/>
        </w:rPr>
        <w:t>produkcją biomasy na cele energetyczne na</w:t>
      </w:r>
      <w:r w:rsidRPr="00443B2B">
        <w:rPr>
          <w:rFonts w:ascii="Calibri" w:hAnsi="Calibri" w:cs="Arial"/>
          <w:b/>
        </w:rPr>
        <w:t xml:space="preserve"> grunt</w:t>
      </w:r>
      <w:r w:rsidR="00156EAA" w:rsidRPr="00443B2B">
        <w:rPr>
          <w:rFonts w:ascii="Calibri" w:hAnsi="Calibri" w:cs="Arial"/>
          <w:b/>
        </w:rPr>
        <w:t>ach</w:t>
      </w:r>
      <w:r w:rsidRPr="00443B2B">
        <w:rPr>
          <w:rFonts w:ascii="Calibri" w:hAnsi="Calibri" w:cs="Arial"/>
          <w:b/>
        </w:rPr>
        <w:t xml:space="preserve"> rolnych oraz nieużytk</w:t>
      </w:r>
      <w:r w:rsidR="00156EAA" w:rsidRPr="00443B2B">
        <w:rPr>
          <w:rFonts w:ascii="Calibri" w:hAnsi="Calibri" w:cs="Arial"/>
          <w:b/>
        </w:rPr>
        <w:t>ach</w:t>
      </w:r>
      <w:r w:rsidRPr="00443B2B">
        <w:rPr>
          <w:rFonts w:ascii="Calibri" w:hAnsi="Calibri" w:cs="Arial"/>
          <w:b/>
        </w:rPr>
        <w:t xml:space="preserve"> zanieczyszczonych wskutek działalności przemysłowej</w:t>
      </w:r>
      <w:r w:rsidR="00156EAA" w:rsidRPr="00443B2B">
        <w:rPr>
          <w:rFonts w:ascii="Calibri" w:hAnsi="Calibri" w:cs="Arial"/>
          <w:b/>
        </w:rPr>
        <w:t xml:space="preserve">. Badania </w:t>
      </w:r>
      <w:r w:rsidR="005F743E">
        <w:rPr>
          <w:rFonts w:ascii="Calibri" w:hAnsi="Calibri" w:cs="Arial"/>
          <w:b/>
        </w:rPr>
        <w:t xml:space="preserve">te </w:t>
      </w:r>
      <w:r w:rsidR="00C4586E">
        <w:rPr>
          <w:rFonts w:ascii="Calibri" w:hAnsi="Calibri" w:cs="Arial"/>
          <w:b/>
        </w:rPr>
        <w:t>doskonale wpisują się w specyfikę regionu przyczyniając się tym samym do</w:t>
      </w:r>
      <w:r w:rsidR="00156EAA" w:rsidRPr="00443B2B">
        <w:rPr>
          <w:rFonts w:ascii="Calibri" w:hAnsi="Calibri" w:cs="Arial"/>
          <w:b/>
        </w:rPr>
        <w:t xml:space="preserve"> osiągnięcia celów </w:t>
      </w:r>
      <w:r w:rsidR="00156EAA" w:rsidRPr="00D6219F">
        <w:rPr>
          <w:rFonts w:ascii="Calibri" w:hAnsi="Calibri" w:cs="Arial"/>
          <w:b/>
        </w:rPr>
        <w:t>pakietu klimatyczno-energetycznego</w:t>
      </w:r>
      <w:r w:rsidR="00302424" w:rsidRPr="00D6219F">
        <w:rPr>
          <w:rFonts w:ascii="Calibri" w:hAnsi="Calibri" w:cs="Arial"/>
          <w:b/>
        </w:rPr>
        <w:t xml:space="preserve"> w Unii Europejskiej</w:t>
      </w:r>
      <w:r w:rsidR="00156EAA" w:rsidRPr="00443B2B">
        <w:rPr>
          <w:rFonts w:ascii="Calibri" w:hAnsi="Calibri" w:cs="Arial"/>
          <w:b/>
        </w:rPr>
        <w:t xml:space="preserve">. </w:t>
      </w:r>
    </w:p>
    <w:p w14:paraId="48514C7F" w14:textId="1C731AA3" w:rsidR="00497952" w:rsidRDefault="00497952" w:rsidP="00497952">
      <w:pPr>
        <w:tabs>
          <w:tab w:val="left" w:pos="1418"/>
        </w:tabs>
        <w:spacing w:after="120"/>
        <w:ind w:right="-142"/>
        <w:rPr>
          <w:rFonts w:ascii="Calibri" w:hAnsi="Calibri" w:cs="Arial"/>
          <w:b/>
        </w:rPr>
      </w:pPr>
      <w:r w:rsidRPr="00F516F9">
        <w:t xml:space="preserve">W kontekście </w:t>
      </w:r>
      <w:r>
        <w:t xml:space="preserve">wyzwań związanych z OZE grunty </w:t>
      </w:r>
      <w:r w:rsidR="000F02B5">
        <w:t>słabej jakości</w:t>
      </w:r>
      <w:r>
        <w:t xml:space="preserve"> i nieużytki </w:t>
      </w:r>
      <w:r w:rsidR="000F02B5">
        <w:t>po</w:t>
      </w:r>
      <w:r>
        <w:t xml:space="preserve">przemysłowe </w:t>
      </w:r>
      <w:r w:rsidR="000F02B5">
        <w:t>stanowią</w:t>
      </w:r>
      <w:r>
        <w:t xml:space="preserve"> </w:t>
      </w:r>
      <w:r w:rsidR="000F02B5">
        <w:t>zasób</w:t>
      </w:r>
      <w:r>
        <w:t xml:space="preserve">, który </w:t>
      </w:r>
      <w:r w:rsidR="000F02B5">
        <w:t>można wykorzystać</w:t>
      </w:r>
      <w:r>
        <w:t xml:space="preserve"> </w:t>
      </w:r>
      <w:r w:rsidR="000F02B5">
        <w:t>pod</w:t>
      </w:r>
      <w:r>
        <w:t xml:space="preserve"> upraw</w:t>
      </w:r>
      <w:r w:rsidR="000F02B5">
        <w:t>ę</w:t>
      </w:r>
      <w:r>
        <w:t xml:space="preserve"> roślin energetycznych</w:t>
      </w:r>
      <w:r>
        <w:rPr>
          <w:rFonts w:ascii="Calibri" w:hAnsi="Calibri" w:cs="Arial"/>
        </w:rPr>
        <w:t xml:space="preserve">. </w:t>
      </w:r>
      <w:r w:rsidR="000F02B5">
        <w:rPr>
          <w:rFonts w:ascii="Calibri" w:hAnsi="Calibri" w:cs="Arial"/>
          <w:u w:val="single"/>
        </w:rPr>
        <w:t>Według naukowców</w:t>
      </w:r>
      <w:r w:rsidRPr="00BC3E2B">
        <w:rPr>
          <w:rFonts w:ascii="Calibri" w:hAnsi="Calibri" w:cs="Arial"/>
          <w:u w:val="single"/>
        </w:rPr>
        <w:t xml:space="preserve"> uprawa </w:t>
      </w:r>
      <w:r w:rsidR="00797CED">
        <w:rPr>
          <w:rFonts w:ascii="Calibri" w:hAnsi="Calibri" w:cs="Arial"/>
          <w:u w:val="single"/>
        </w:rPr>
        <w:t xml:space="preserve">niektórych gatunków </w:t>
      </w:r>
      <w:r w:rsidRPr="00BC3E2B">
        <w:rPr>
          <w:rFonts w:ascii="Calibri" w:hAnsi="Calibri" w:cs="Arial"/>
          <w:u w:val="single"/>
        </w:rPr>
        <w:t>roślin energetycznych</w:t>
      </w:r>
      <w:r w:rsidR="000F02B5">
        <w:rPr>
          <w:rFonts w:ascii="Calibri" w:hAnsi="Calibri" w:cs="Arial"/>
          <w:u w:val="single"/>
        </w:rPr>
        <w:t xml:space="preserve"> dodatkowo</w:t>
      </w:r>
      <w:r>
        <w:rPr>
          <w:rFonts w:ascii="Calibri" w:hAnsi="Calibri" w:cs="Arial"/>
          <w:u w:val="single"/>
        </w:rPr>
        <w:t xml:space="preserve"> umożliwi </w:t>
      </w:r>
      <w:r w:rsidR="00797CED">
        <w:rPr>
          <w:rFonts w:ascii="Calibri" w:hAnsi="Calibri" w:cs="Arial"/>
          <w:u w:val="single"/>
        </w:rPr>
        <w:t xml:space="preserve">oczyszczenie </w:t>
      </w:r>
      <w:r>
        <w:rPr>
          <w:rFonts w:ascii="Calibri" w:hAnsi="Calibri" w:cs="Arial"/>
          <w:u w:val="single"/>
        </w:rPr>
        <w:t>gleb</w:t>
      </w:r>
      <w:r w:rsidR="00797CED">
        <w:rPr>
          <w:rFonts w:ascii="Calibri" w:hAnsi="Calibri" w:cs="Arial"/>
          <w:u w:val="single"/>
        </w:rPr>
        <w:t xml:space="preserve"> zanieczyszczonych metalami ciężkimi, a także pozytywnie wpłynie na jakość gleb słabych</w:t>
      </w:r>
      <w:r>
        <w:rPr>
          <w:rFonts w:ascii="Calibri" w:hAnsi="Calibri" w:cs="Arial"/>
          <w:u w:val="single"/>
        </w:rPr>
        <w:t>.</w:t>
      </w:r>
    </w:p>
    <w:p w14:paraId="4E13BDDF" w14:textId="5497A045" w:rsidR="00980988" w:rsidRDefault="00497952" w:rsidP="00497952">
      <w:pPr>
        <w:tabs>
          <w:tab w:val="left" w:pos="1418"/>
        </w:tabs>
        <w:spacing w:after="120"/>
        <w:ind w:right="-142"/>
        <w:rPr>
          <w:rFonts w:ascii="Calibri" w:hAnsi="Calibri" w:cs="Arial"/>
        </w:rPr>
      </w:pPr>
      <w:r>
        <w:t xml:space="preserve">Cel dotyczący 20% udziału OZE w finalnej konsumpcji energii do 2020r. w Unii Europejskiej </w:t>
      </w:r>
      <w:r w:rsidR="00510C85">
        <w:t>stanowi</w:t>
      </w:r>
      <w:r>
        <w:t xml:space="preserve"> wyzwanie </w:t>
      </w:r>
      <w:r w:rsidR="00510C85">
        <w:t>również</w:t>
      </w:r>
      <w:r>
        <w:t xml:space="preserve"> dla tych krajów, które przodują w produkcji energii ze źródeł odnawialnych. Wiąże się to bowiem </w:t>
      </w:r>
      <w:r w:rsidR="008742F4">
        <w:t xml:space="preserve">ze zwiększeniem </w:t>
      </w:r>
      <w:r w:rsidR="009637BE" w:rsidRPr="00553E12">
        <w:t>w</w:t>
      </w:r>
      <w:r w:rsidR="009637BE" w:rsidRPr="00553E12">
        <w:rPr>
          <w:rFonts w:ascii="Calibri" w:hAnsi="Calibri" w:cs="Arial"/>
        </w:rPr>
        <w:t>ykorzystan</w:t>
      </w:r>
      <w:r w:rsidR="008742F4">
        <w:rPr>
          <w:rFonts w:ascii="Calibri" w:hAnsi="Calibri" w:cs="Arial"/>
        </w:rPr>
        <w:t>ia</w:t>
      </w:r>
      <w:r w:rsidR="009637BE" w:rsidRPr="00553E12">
        <w:rPr>
          <w:rFonts w:ascii="Calibri" w:hAnsi="Calibri" w:cs="Arial"/>
        </w:rPr>
        <w:t xml:space="preserve"> biomasy roślinnej do celów energetycznych</w:t>
      </w:r>
      <w:r w:rsidR="009637BE">
        <w:rPr>
          <w:rFonts w:ascii="Calibri" w:hAnsi="Calibri" w:cs="Arial"/>
        </w:rPr>
        <w:t xml:space="preserve">. </w:t>
      </w:r>
      <w:r>
        <w:rPr>
          <w:rFonts w:ascii="Calibri" w:hAnsi="Calibri" w:cs="Arial"/>
        </w:rPr>
        <w:t>Biorąc pod uwagę ograniczenia związane z wykorzystani</w:t>
      </w:r>
      <w:r w:rsidR="005B3DED">
        <w:rPr>
          <w:rFonts w:ascii="Calibri" w:hAnsi="Calibri" w:cs="Arial"/>
        </w:rPr>
        <w:t>em</w:t>
      </w:r>
      <w:r>
        <w:rPr>
          <w:rFonts w:ascii="Calibri" w:hAnsi="Calibri" w:cs="Arial"/>
        </w:rPr>
        <w:t xml:space="preserve"> gruntów nadających się pod uprawy konsumpcyjne lub paszowe do uprawy roślin energetycznych</w:t>
      </w:r>
      <w:r w:rsidR="001A4C03">
        <w:rPr>
          <w:rFonts w:ascii="Calibri" w:hAnsi="Calibri" w:cs="Arial"/>
        </w:rPr>
        <w:t xml:space="preserve">, konieczne jest poszukiwanie nowych, skutecznych rozwiązań. </w:t>
      </w:r>
      <w:r w:rsidR="008742F4">
        <w:rPr>
          <w:rFonts w:ascii="Calibri" w:hAnsi="Calibri" w:cs="Arial"/>
        </w:rPr>
        <w:t xml:space="preserve">Naukowcy z Niemiec, Wielkiej Brytanii i Polski widzą szansę na wykorzystanie do uprawy roślin energetycznych terenów zdegradowanych przez działalność przemysłową. </w:t>
      </w:r>
      <w:r w:rsidR="008742F4" w:rsidRPr="005554E3">
        <w:rPr>
          <w:rFonts w:ascii="Calibri" w:hAnsi="Calibri" w:cs="Arial"/>
          <w:u w:val="single"/>
        </w:rPr>
        <w:t>Pozwoli to pozostawić</w:t>
      </w:r>
      <w:r w:rsidR="00356CDC" w:rsidRPr="005554E3">
        <w:rPr>
          <w:rFonts w:ascii="Calibri" w:hAnsi="Calibri" w:cs="Arial"/>
          <w:u w:val="single"/>
        </w:rPr>
        <w:t xml:space="preserve"> czyste i dobre jakościowo gleby do produkcji żywności</w:t>
      </w:r>
      <w:r w:rsidR="00356CDC">
        <w:rPr>
          <w:rFonts w:ascii="Calibri" w:hAnsi="Calibri" w:cs="Arial"/>
        </w:rPr>
        <w:t xml:space="preserve">. </w:t>
      </w:r>
    </w:p>
    <w:p w14:paraId="6667E814" w14:textId="522E1047" w:rsidR="00980988" w:rsidRPr="00F516F9" w:rsidRDefault="00CA6D3B" w:rsidP="00980988">
      <w:pPr>
        <w:tabs>
          <w:tab w:val="left" w:pos="1418"/>
        </w:tabs>
        <w:spacing w:after="120"/>
        <w:ind w:right="-142"/>
      </w:pPr>
      <w:r>
        <w:rPr>
          <w:rFonts w:ascii="Calibri" w:hAnsi="Calibri" w:cs="Arial"/>
        </w:rPr>
        <w:t>N</w:t>
      </w:r>
      <w:r w:rsidR="00980988" w:rsidRPr="00553E12">
        <w:rPr>
          <w:rFonts w:ascii="Calibri" w:hAnsi="Calibri" w:cs="Arial"/>
        </w:rPr>
        <w:t xml:space="preserve">iektóre gatunki roślin energetycznych </w:t>
      </w:r>
      <w:r w:rsidR="00980988">
        <w:rPr>
          <w:rFonts w:ascii="Calibri" w:hAnsi="Calibri" w:cs="Arial"/>
        </w:rPr>
        <w:t xml:space="preserve">rosnąc na </w:t>
      </w:r>
      <w:r w:rsidR="00980988" w:rsidRPr="00510C85">
        <w:rPr>
          <w:rFonts w:ascii="Calibri" w:hAnsi="Calibri" w:cs="Arial"/>
        </w:rPr>
        <w:t xml:space="preserve">glebach </w:t>
      </w:r>
      <w:r w:rsidR="0059216D" w:rsidRPr="00510C85">
        <w:rPr>
          <w:rFonts w:ascii="Calibri" w:hAnsi="Calibri" w:cs="Arial"/>
        </w:rPr>
        <w:t>niższej jakości i</w:t>
      </w:r>
      <w:r w:rsidR="0059216D">
        <w:rPr>
          <w:rFonts w:ascii="Calibri" w:hAnsi="Calibri" w:cs="Arial"/>
        </w:rPr>
        <w:t xml:space="preserve"> </w:t>
      </w:r>
      <w:r w:rsidR="00980988">
        <w:rPr>
          <w:rFonts w:ascii="Calibri" w:hAnsi="Calibri" w:cs="Arial"/>
        </w:rPr>
        <w:t>zanieczyszczonych metalami ciężkimi z powodzeniem zapewniają plon wystarczający do wykorzystania w skali przemysłowej. Ponadto niektóre z nich p</w:t>
      </w:r>
      <w:r w:rsidR="00980988" w:rsidRPr="00553E12">
        <w:rPr>
          <w:rFonts w:ascii="Calibri" w:hAnsi="Calibri" w:cs="Arial"/>
        </w:rPr>
        <w:t>osiadają specyficzne mechanizmy umożliwiające pobieranie i gromadzenie w tkankach substancji toksycznych, np. ołowiu i kadmu</w:t>
      </w:r>
      <w:r w:rsidR="005B3DED">
        <w:rPr>
          <w:rFonts w:ascii="Calibri" w:hAnsi="Calibri" w:cs="Arial"/>
        </w:rPr>
        <w:t xml:space="preserve">, </w:t>
      </w:r>
      <w:r w:rsidR="00980988">
        <w:rPr>
          <w:rFonts w:ascii="Calibri" w:hAnsi="Calibri" w:cs="Arial"/>
        </w:rPr>
        <w:t>czyli mogą być jednocześnie wykorzystane do oczyszczania gleb</w:t>
      </w:r>
      <w:r w:rsidR="00980988" w:rsidRPr="00553E12">
        <w:rPr>
          <w:rFonts w:ascii="Calibri" w:hAnsi="Calibri" w:cs="Arial"/>
        </w:rPr>
        <w:t>.</w:t>
      </w:r>
      <w:r w:rsidR="00980988">
        <w:rPr>
          <w:rFonts w:ascii="Calibri" w:hAnsi="Calibri" w:cs="Arial"/>
        </w:rPr>
        <w:t xml:space="preserve"> Inne natomiast nie pobierają zanieczyszczeń z gleb do części nadziemnych</w:t>
      </w:r>
      <w:r w:rsidR="00B80857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więc</w:t>
      </w:r>
      <w:r w:rsidR="00B80857">
        <w:rPr>
          <w:rFonts w:ascii="Calibri" w:hAnsi="Calibri" w:cs="Arial"/>
        </w:rPr>
        <w:t xml:space="preserve"> ich plon stanowi czysta biomasa łatwiejsza do zagospodarowania na cele energetyczne</w:t>
      </w:r>
      <w:r w:rsidR="00980988" w:rsidRPr="005B3DED">
        <w:rPr>
          <w:rFonts w:ascii="Calibri" w:hAnsi="Calibri" w:cs="Arial"/>
        </w:rPr>
        <w:t>.</w:t>
      </w:r>
    </w:p>
    <w:p w14:paraId="3B3F3FD3" w14:textId="425C2278" w:rsidR="00443B2B" w:rsidRDefault="009637BE" w:rsidP="00443B2B">
      <w:pPr>
        <w:tabs>
          <w:tab w:val="left" w:pos="1418"/>
        </w:tabs>
        <w:spacing w:after="120"/>
        <w:ind w:right="-142"/>
        <w:rPr>
          <w:rFonts w:ascii="Calibri" w:hAnsi="Calibri" w:cs="Arial"/>
        </w:rPr>
      </w:pPr>
      <w:r w:rsidRPr="00F516F9">
        <w:t>Obecnie w IETU realizowane są dwa międzynarodowe projekty badawcze finansowane ze środków Unii Europejskiej – MISCOMAR oraz PH</w:t>
      </w:r>
      <w:r w:rsidR="000757C1">
        <w:t>YTO</w:t>
      </w:r>
      <w:r w:rsidRPr="00F516F9">
        <w:t>2ENERGY</w:t>
      </w:r>
      <w:r>
        <w:t xml:space="preserve">, w </w:t>
      </w:r>
      <w:r w:rsidR="00356CDC">
        <w:t xml:space="preserve">ramach </w:t>
      </w:r>
      <w:r>
        <w:t xml:space="preserve">których </w:t>
      </w:r>
      <w:r w:rsidR="00356CDC">
        <w:t xml:space="preserve">opracowywane są nowe metody uprawy roślin energetycznych </w:t>
      </w:r>
      <w:r>
        <w:t xml:space="preserve">na </w:t>
      </w:r>
      <w:r w:rsidR="00356CDC" w:rsidRPr="00F516F9">
        <w:rPr>
          <w:rFonts w:ascii="Calibri" w:hAnsi="Calibri" w:cs="Arial"/>
        </w:rPr>
        <w:t>gruntach rolnych o niskiej jakości</w:t>
      </w:r>
      <w:r w:rsidR="000757C1" w:rsidRPr="000757C1">
        <w:rPr>
          <w:rFonts w:ascii="Calibri" w:hAnsi="Calibri" w:cs="Arial"/>
        </w:rPr>
        <w:t xml:space="preserve"> </w:t>
      </w:r>
      <w:r w:rsidR="000757C1">
        <w:rPr>
          <w:rFonts w:ascii="Calibri" w:hAnsi="Calibri" w:cs="Arial"/>
        </w:rPr>
        <w:t>oraz zanieczyszczonych</w:t>
      </w:r>
      <w:r w:rsidR="00356CDC">
        <w:rPr>
          <w:rFonts w:ascii="Calibri" w:hAnsi="Calibri" w:cs="Arial"/>
        </w:rPr>
        <w:t xml:space="preserve">. Projekty te bazują </w:t>
      </w:r>
      <w:r w:rsidR="00356CDC">
        <w:t>na</w:t>
      </w:r>
      <w:r w:rsidRPr="00F516F9">
        <w:t xml:space="preserve"> </w:t>
      </w:r>
      <w:r w:rsidR="00356CDC">
        <w:rPr>
          <w:rFonts w:ascii="Calibri" w:hAnsi="Calibri" w:cs="Arial"/>
        </w:rPr>
        <w:t>ponad piętnastoletnich</w:t>
      </w:r>
      <w:r w:rsidR="00356CDC" w:rsidRPr="00553E12">
        <w:rPr>
          <w:rFonts w:ascii="Calibri" w:hAnsi="Calibri" w:cs="Arial"/>
        </w:rPr>
        <w:t xml:space="preserve"> </w:t>
      </w:r>
      <w:r w:rsidR="00356CDC">
        <w:rPr>
          <w:rFonts w:ascii="Calibri" w:hAnsi="Calibri" w:cs="Arial"/>
        </w:rPr>
        <w:t xml:space="preserve">badaniach </w:t>
      </w:r>
      <w:r w:rsidR="00356CDC" w:rsidRPr="00553E12">
        <w:rPr>
          <w:rFonts w:ascii="Calibri" w:hAnsi="Calibri" w:cs="Arial"/>
        </w:rPr>
        <w:t>prowadzon</w:t>
      </w:r>
      <w:r w:rsidR="00E57AE9">
        <w:rPr>
          <w:rFonts w:ascii="Calibri" w:hAnsi="Calibri" w:cs="Arial"/>
        </w:rPr>
        <w:t>ych</w:t>
      </w:r>
      <w:r w:rsidR="00356CDC" w:rsidRPr="00553E12">
        <w:rPr>
          <w:rFonts w:ascii="Calibri" w:hAnsi="Calibri" w:cs="Arial"/>
        </w:rPr>
        <w:t xml:space="preserve"> przez IETU</w:t>
      </w:r>
      <w:r w:rsidR="00546480">
        <w:rPr>
          <w:rFonts w:ascii="Calibri" w:hAnsi="Calibri" w:cs="Arial"/>
        </w:rPr>
        <w:t xml:space="preserve">, </w:t>
      </w:r>
      <w:r w:rsidR="00443B2B">
        <w:rPr>
          <w:rFonts w:ascii="Calibri" w:hAnsi="Calibri" w:cs="Arial"/>
        </w:rPr>
        <w:t>w których sprawdzono kilkanaście gatunków wieloletnich roślin energetycznych takich</w:t>
      </w:r>
      <w:r w:rsidR="00E57AE9">
        <w:rPr>
          <w:rFonts w:ascii="Calibri" w:hAnsi="Calibri" w:cs="Arial"/>
        </w:rPr>
        <w:t>,</w:t>
      </w:r>
      <w:r w:rsidR="00443B2B">
        <w:rPr>
          <w:rFonts w:ascii="Calibri" w:hAnsi="Calibri" w:cs="Arial"/>
        </w:rPr>
        <w:t xml:space="preserve"> jak</w:t>
      </w:r>
      <w:r w:rsidR="00E57AE9">
        <w:rPr>
          <w:rFonts w:ascii="Calibri" w:hAnsi="Calibri" w:cs="Arial"/>
        </w:rPr>
        <w:t>:</w:t>
      </w:r>
      <w:r w:rsidR="00443B2B">
        <w:rPr>
          <w:rFonts w:ascii="Calibri" w:hAnsi="Calibri" w:cs="Arial"/>
        </w:rPr>
        <w:t xml:space="preserve"> </w:t>
      </w:r>
      <w:proofErr w:type="spellStart"/>
      <w:r w:rsidR="00546480" w:rsidRPr="003E336E">
        <w:rPr>
          <w:rFonts w:ascii="Calibri" w:hAnsi="Calibri" w:cs="Arial"/>
          <w:bCs/>
        </w:rPr>
        <w:t>miskant</w:t>
      </w:r>
      <w:proofErr w:type="spellEnd"/>
      <w:r w:rsidR="00546480">
        <w:rPr>
          <w:rFonts w:ascii="Calibri" w:hAnsi="Calibri" w:cs="Arial"/>
          <w:bCs/>
        </w:rPr>
        <w:t xml:space="preserve"> </w:t>
      </w:r>
      <w:r w:rsidR="00546480" w:rsidRPr="003E336E">
        <w:rPr>
          <w:rFonts w:ascii="Calibri" w:hAnsi="Calibri" w:cs="Arial"/>
          <w:bCs/>
        </w:rPr>
        <w:t>olbrzymi</w:t>
      </w:r>
      <w:r w:rsidR="00546480">
        <w:rPr>
          <w:rFonts w:ascii="Calibri" w:hAnsi="Calibri" w:cs="Arial"/>
          <w:bCs/>
        </w:rPr>
        <w:t xml:space="preserve"> </w:t>
      </w:r>
      <w:r w:rsidR="00546480" w:rsidRPr="003E336E">
        <w:rPr>
          <w:rFonts w:ascii="Calibri" w:hAnsi="Calibri" w:cs="Arial"/>
          <w:bCs/>
        </w:rPr>
        <w:t>(</w:t>
      </w:r>
      <w:proofErr w:type="spellStart"/>
      <w:r w:rsidR="00546480" w:rsidRPr="003E336E">
        <w:rPr>
          <w:rFonts w:ascii="Calibri" w:hAnsi="Calibri" w:cs="Arial"/>
          <w:bCs/>
          <w:i/>
        </w:rPr>
        <w:t>Miscanthus</w:t>
      </w:r>
      <w:proofErr w:type="spellEnd"/>
      <w:r w:rsidR="00546480">
        <w:rPr>
          <w:rFonts w:ascii="Calibri" w:hAnsi="Calibri" w:cs="Arial"/>
          <w:bCs/>
          <w:i/>
        </w:rPr>
        <w:t xml:space="preserve"> </w:t>
      </w:r>
      <w:r w:rsidR="00546480" w:rsidRPr="0094069D">
        <w:rPr>
          <w:rFonts w:ascii="Calibri" w:hAnsi="Calibri" w:cs="Arial"/>
          <w:bCs/>
        </w:rPr>
        <w:t>x</w:t>
      </w:r>
      <w:r w:rsidR="00546480">
        <w:rPr>
          <w:rFonts w:ascii="Calibri" w:hAnsi="Calibri" w:cs="Arial"/>
          <w:bCs/>
          <w:i/>
        </w:rPr>
        <w:t xml:space="preserve"> </w:t>
      </w:r>
      <w:proofErr w:type="spellStart"/>
      <w:r w:rsidR="00546480" w:rsidRPr="003E336E">
        <w:rPr>
          <w:rFonts w:ascii="Calibri" w:hAnsi="Calibri" w:cs="Arial"/>
          <w:bCs/>
          <w:i/>
        </w:rPr>
        <w:t>giganteus</w:t>
      </w:r>
      <w:proofErr w:type="spellEnd"/>
      <w:r w:rsidR="00546480" w:rsidRPr="003E336E">
        <w:rPr>
          <w:rFonts w:ascii="Calibri" w:hAnsi="Calibri" w:cs="Arial"/>
          <w:bCs/>
        </w:rPr>
        <w:t xml:space="preserve">), </w:t>
      </w:r>
      <w:proofErr w:type="spellStart"/>
      <w:r w:rsidR="00546480" w:rsidRPr="003E336E">
        <w:rPr>
          <w:rFonts w:ascii="Calibri" w:hAnsi="Calibri" w:cs="Arial"/>
          <w:bCs/>
        </w:rPr>
        <w:t>spart</w:t>
      </w:r>
      <w:r w:rsidR="00546480">
        <w:rPr>
          <w:rFonts w:ascii="Calibri" w:hAnsi="Calibri" w:cs="Arial"/>
          <w:bCs/>
        </w:rPr>
        <w:t>i</w:t>
      </w:r>
      <w:r w:rsidR="00546480" w:rsidRPr="003E336E">
        <w:rPr>
          <w:rFonts w:ascii="Calibri" w:hAnsi="Calibri" w:cs="Arial"/>
          <w:bCs/>
        </w:rPr>
        <w:t>n</w:t>
      </w:r>
      <w:r w:rsidR="00443B2B">
        <w:rPr>
          <w:rFonts w:ascii="Calibri" w:hAnsi="Calibri" w:cs="Arial"/>
          <w:bCs/>
        </w:rPr>
        <w:t>a</w:t>
      </w:r>
      <w:proofErr w:type="spellEnd"/>
      <w:r w:rsidR="00546480">
        <w:rPr>
          <w:rFonts w:ascii="Calibri" w:hAnsi="Calibri" w:cs="Arial"/>
          <w:bCs/>
        </w:rPr>
        <w:t xml:space="preserve"> </w:t>
      </w:r>
      <w:r w:rsidR="00546480" w:rsidRPr="003E336E">
        <w:rPr>
          <w:rFonts w:ascii="Calibri" w:hAnsi="Calibri" w:cs="Arial"/>
          <w:bCs/>
        </w:rPr>
        <w:t>preriow</w:t>
      </w:r>
      <w:r w:rsidR="00443B2B">
        <w:rPr>
          <w:rFonts w:ascii="Calibri" w:hAnsi="Calibri" w:cs="Arial"/>
          <w:bCs/>
        </w:rPr>
        <w:t>a</w:t>
      </w:r>
      <w:r w:rsidR="00546480">
        <w:rPr>
          <w:rFonts w:ascii="Calibri" w:hAnsi="Calibri" w:cs="Arial"/>
          <w:bCs/>
        </w:rPr>
        <w:t xml:space="preserve"> </w:t>
      </w:r>
      <w:r w:rsidR="00546480" w:rsidRPr="003E336E">
        <w:rPr>
          <w:rFonts w:ascii="Calibri" w:hAnsi="Calibri" w:cs="Arial"/>
          <w:bCs/>
        </w:rPr>
        <w:t>(</w:t>
      </w:r>
      <w:proofErr w:type="spellStart"/>
      <w:r w:rsidR="00546480" w:rsidRPr="003E336E">
        <w:rPr>
          <w:rFonts w:ascii="Calibri" w:hAnsi="Calibri" w:cs="Arial"/>
          <w:bCs/>
          <w:i/>
        </w:rPr>
        <w:t>Spartina</w:t>
      </w:r>
      <w:proofErr w:type="spellEnd"/>
      <w:r w:rsidR="00546480">
        <w:rPr>
          <w:rFonts w:ascii="Calibri" w:hAnsi="Calibri" w:cs="Arial"/>
          <w:bCs/>
          <w:i/>
        </w:rPr>
        <w:t xml:space="preserve"> </w:t>
      </w:r>
      <w:proofErr w:type="spellStart"/>
      <w:r w:rsidR="00546480" w:rsidRPr="003E336E">
        <w:rPr>
          <w:rFonts w:ascii="Calibri" w:hAnsi="Calibri" w:cs="Arial"/>
          <w:bCs/>
          <w:i/>
        </w:rPr>
        <w:t>pectinata</w:t>
      </w:r>
      <w:proofErr w:type="spellEnd"/>
      <w:r w:rsidR="00546480" w:rsidRPr="003E336E">
        <w:rPr>
          <w:rFonts w:ascii="Calibri" w:hAnsi="Calibri" w:cs="Arial"/>
          <w:bCs/>
        </w:rPr>
        <w:t>),</w:t>
      </w:r>
      <w:r w:rsidR="00546480">
        <w:rPr>
          <w:rFonts w:ascii="Calibri" w:hAnsi="Calibri" w:cs="Arial"/>
          <w:bCs/>
        </w:rPr>
        <w:t xml:space="preserve"> </w:t>
      </w:r>
      <w:r w:rsidR="00D6219F" w:rsidRPr="00C50DA4">
        <w:rPr>
          <w:rFonts w:ascii="Calibri" w:hAnsi="Calibri" w:cs="Arial"/>
          <w:iCs/>
        </w:rPr>
        <w:t>ślazowiec pensylwański (</w:t>
      </w:r>
      <w:proofErr w:type="spellStart"/>
      <w:r w:rsidR="00D6219F" w:rsidRPr="00C50DA4">
        <w:rPr>
          <w:rFonts w:ascii="Calibri" w:hAnsi="Calibri" w:cs="Arial"/>
          <w:i/>
          <w:iCs/>
        </w:rPr>
        <w:t>Sida</w:t>
      </w:r>
      <w:proofErr w:type="spellEnd"/>
      <w:r w:rsidR="00D6219F" w:rsidRPr="00C50DA4">
        <w:rPr>
          <w:rFonts w:ascii="Calibri" w:hAnsi="Calibri" w:cs="Arial"/>
          <w:i/>
          <w:iCs/>
        </w:rPr>
        <w:t xml:space="preserve"> </w:t>
      </w:r>
      <w:proofErr w:type="spellStart"/>
      <w:r w:rsidR="00D6219F" w:rsidRPr="00C50DA4">
        <w:rPr>
          <w:rFonts w:ascii="Calibri" w:hAnsi="Calibri" w:cs="Arial"/>
          <w:i/>
          <w:iCs/>
        </w:rPr>
        <w:t>hermaphrodita</w:t>
      </w:r>
      <w:proofErr w:type="spellEnd"/>
      <w:r w:rsidR="00D6219F" w:rsidRPr="00C50DA4">
        <w:rPr>
          <w:rFonts w:ascii="Calibri" w:hAnsi="Calibri" w:cs="Arial"/>
          <w:i/>
          <w:iCs/>
        </w:rPr>
        <w:t>)</w:t>
      </w:r>
      <w:r w:rsidR="00D6219F" w:rsidRPr="00C50DA4">
        <w:rPr>
          <w:rFonts w:ascii="Calibri" w:hAnsi="Calibri" w:cs="Arial"/>
        </w:rPr>
        <w:t>, proso rózgowe (</w:t>
      </w:r>
      <w:proofErr w:type="spellStart"/>
      <w:r w:rsidR="00D6219F" w:rsidRPr="00C50DA4">
        <w:rPr>
          <w:rFonts w:ascii="Calibri" w:hAnsi="Calibri" w:cs="Arial"/>
          <w:i/>
          <w:iCs/>
        </w:rPr>
        <w:t>Panicum</w:t>
      </w:r>
      <w:proofErr w:type="spellEnd"/>
      <w:r w:rsidR="00D6219F" w:rsidRPr="00C50DA4">
        <w:rPr>
          <w:rFonts w:ascii="Calibri" w:hAnsi="Calibri" w:cs="Arial"/>
          <w:i/>
          <w:iCs/>
        </w:rPr>
        <w:t xml:space="preserve"> </w:t>
      </w:r>
      <w:proofErr w:type="spellStart"/>
      <w:r w:rsidR="00D6219F" w:rsidRPr="00C50DA4">
        <w:rPr>
          <w:rFonts w:ascii="Calibri" w:hAnsi="Calibri" w:cs="Arial"/>
          <w:i/>
          <w:iCs/>
        </w:rPr>
        <w:t>virgatum</w:t>
      </w:r>
      <w:proofErr w:type="spellEnd"/>
      <w:r w:rsidR="00D6219F" w:rsidRPr="00C50DA4">
        <w:rPr>
          <w:rFonts w:ascii="Calibri" w:hAnsi="Calibri" w:cs="Arial"/>
          <w:i/>
          <w:iCs/>
        </w:rPr>
        <w:t>)</w:t>
      </w:r>
      <w:r w:rsidR="00D6219F">
        <w:rPr>
          <w:rFonts w:ascii="Calibri" w:hAnsi="Calibri" w:cs="Arial"/>
          <w:i/>
          <w:iCs/>
        </w:rPr>
        <w:t>,</w:t>
      </w:r>
      <w:r w:rsidR="00443B2B" w:rsidRPr="00D6219F">
        <w:rPr>
          <w:rFonts w:ascii="Calibri" w:hAnsi="Calibri" w:cs="Arial"/>
          <w:bCs/>
        </w:rPr>
        <w:t xml:space="preserve"> </w:t>
      </w:r>
      <w:r w:rsidR="00FF30F4" w:rsidRPr="00FF30F4">
        <w:rPr>
          <w:rFonts w:ascii="Calibri" w:hAnsi="Calibri" w:cs="Arial"/>
          <w:bCs/>
        </w:rPr>
        <w:t>palczatka Gerarda (</w:t>
      </w:r>
      <w:proofErr w:type="spellStart"/>
      <w:r w:rsidR="00FF30F4" w:rsidRPr="00510C85">
        <w:rPr>
          <w:rFonts w:ascii="Calibri" w:hAnsi="Calibri" w:cs="Arial"/>
          <w:bCs/>
          <w:i/>
        </w:rPr>
        <w:t>Andropogon</w:t>
      </w:r>
      <w:proofErr w:type="spellEnd"/>
      <w:r w:rsidR="00FF30F4" w:rsidRPr="00510C85">
        <w:rPr>
          <w:rFonts w:ascii="Calibri" w:hAnsi="Calibri" w:cs="Arial"/>
          <w:bCs/>
          <w:i/>
        </w:rPr>
        <w:t xml:space="preserve"> </w:t>
      </w:r>
      <w:proofErr w:type="spellStart"/>
      <w:r w:rsidR="00FF30F4" w:rsidRPr="00510C85">
        <w:rPr>
          <w:rFonts w:ascii="Calibri" w:hAnsi="Calibri" w:cs="Arial"/>
          <w:bCs/>
          <w:i/>
        </w:rPr>
        <w:t>gerardi</w:t>
      </w:r>
      <w:proofErr w:type="spellEnd"/>
      <w:r w:rsidR="00FF30F4" w:rsidRPr="00FF30F4">
        <w:rPr>
          <w:rFonts w:ascii="Calibri" w:hAnsi="Calibri" w:cs="Arial"/>
          <w:bCs/>
        </w:rPr>
        <w:t>), wydmuchrzyca wydłużona (</w:t>
      </w:r>
      <w:proofErr w:type="spellStart"/>
      <w:r w:rsidR="00FF30F4" w:rsidRPr="00510C85">
        <w:rPr>
          <w:rFonts w:ascii="Calibri" w:hAnsi="Calibri" w:cs="Arial"/>
          <w:bCs/>
          <w:i/>
        </w:rPr>
        <w:t>Elymus</w:t>
      </w:r>
      <w:proofErr w:type="spellEnd"/>
      <w:r w:rsidR="00FF30F4" w:rsidRPr="00510C85">
        <w:rPr>
          <w:rFonts w:ascii="Calibri" w:hAnsi="Calibri" w:cs="Arial"/>
          <w:bCs/>
          <w:i/>
        </w:rPr>
        <w:t xml:space="preserve"> </w:t>
      </w:r>
      <w:proofErr w:type="spellStart"/>
      <w:r w:rsidR="00FF30F4" w:rsidRPr="00510C85">
        <w:rPr>
          <w:rFonts w:ascii="Calibri" w:hAnsi="Calibri" w:cs="Arial"/>
          <w:bCs/>
          <w:i/>
        </w:rPr>
        <w:t>elongatus</w:t>
      </w:r>
      <w:proofErr w:type="spellEnd"/>
      <w:r w:rsidR="00FF30F4" w:rsidRPr="00FF30F4">
        <w:rPr>
          <w:rFonts w:ascii="Calibri" w:hAnsi="Calibri" w:cs="Arial"/>
          <w:bCs/>
        </w:rPr>
        <w:t>)</w:t>
      </w:r>
      <w:r w:rsidR="00FF30F4">
        <w:rPr>
          <w:rFonts w:ascii="Calibri" w:hAnsi="Calibri" w:cs="Arial"/>
          <w:bCs/>
        </w:rPr>
        <w:t xml:space="preserve"> oraz rożnik przerośnięty (</w:t>
      </w:r>
      <w:proofErr w:type="spellStart"/>
      <w:r w:rsidR="00FF30F4" w:rsidRPr="00510C85">
        <w:rPr>
          <w:rFonts w:ascii="Calibri" w:hAnsi="Calibri" w:cs="Arial"/>
          <w:bCs/>
          <w:i/>
        </w:rPr>
        <w:t>Silphium</w:t>
      </w:r>
      <w:proofErr w:type="spellEnd"/>
      <w:r w:rsidR="00FF30F4" w:rsidRPr="00510C85">
        <w:rPr>
          <w:rFonts w:ascii="Calibri" w:hAnsi="Calibri" w:cs="Arial"/>
          <w:bCs/>
          <w:i/>
        </w:rPr>
        <w:t xml:space="preserve"> </w:t>
      </w:r>
      <w:proofErr w:type="spellStart"/>
      <w:r w:rsidR="00FF30F4" w:rsidRPr="00510C85">
        <w:rPr>
          <w:rFonts w:ascii="Calibri" w:hAnsi="Calibri" w:cs="Arial"/>
          <w:bCs/>
          <w:i/>
        </w:rPr>
        <w:t>perfoliatum</w:t>
      </w:r>
      <w:proofErr w:type="spellEnd"/>
      <w:r w:rsidR="00FF30F4">
        <w:rPr>
          <w:rFonts w:ascii="Calibri" w:hAnsi="Calibri" w:cs="Arial"/>
          <w:bCs/>
        </w:rPr>
        <w:t>)</w:t>
      </w:r>
      <w:r w:rsidR="00E57AE9">
        <w:rPr>
          <w:rFonts w:ascii="Calibri" w:hAnsi="Calibri" w:cs="Arial"/>
          <w:bCs/>
        </w:rPr>
        <w:t>,</w:t>
      </w:r>
      <w:r w:rsidR="00FF30F4">
        <w:rPr>
          <w:rFonts w:ascii="Calibri" w:hAnsi="Calibri" w:cs="Arial"/>
          <w:bCs/>
        </w:rPr>
        <w:t xml:space="preserve"> </w:t>
      </w:r>
      <w:r w:rsidR="00443B2B" w:rsidRPr="00D6219F">
        <w:rPr>
          <w:rFonts w:ascii="Calibri" w:hAnsi="Calibri" w:cs="Arial"/>
          <w:bCs/>
        </w:rPr>
        <w:t xml:space="preserve">które </w:t>
      </w:r>
      <w:r w:rsidR="00546480">
        <w:rPr>
          <w:rFonts w:ascii="Calibri" w:hAnsi="Calibri" w:cs="Arial"/>
        </w:rPr>
        <w:t>charakteryzują się szybkim wzrostem, dobrą adaptacją do zmiennych warunków środowiskowych, w szczególności niedoboru wody i substancji pokarmowych w glebie.</w:t>
      </w:r>
    </w:p>
    <w:p w14:paraId="04806576" w14:textId="47E6DE36" w:rsidR="00546480" w:rsidRPr="005554E3" w:rsidRDefault="00546480" w:rsidP="005338D0">
      <w:pPr>
        <w:keepNext/>
        <w:keepLines/>
        <w:tabs>
          <w:tab w:val="left" w:pos="1418"/>
        </w:tabs>
        <w:spacing w:after="120"/>
        <w:ind w:right="-142"/>
        <w:rPr>
          <w:i/>
        </w:rPr>
      </w:pPr>
      <w:r w:rsidRPr="005554E3">
        <w:rPr>
          <w:rFonts w:ascii="Calibri" w:hAnsi="Calibri" w:cs="Arial"/>
          <w:i/>
        </w:rPr>
        <w:lastRenderedPageBreak/>
        <w:t>Do uprawy na cele energetyczne preferowane są rośliny, których okres użytkowania wynosi przynajmniej 15-20 lat, gdyż zmniejsza to koszty uprawy oraz zapewnia stałą ilość biomasy w relatywnie długim czasie</w:t>
      </w:r>
      <w:r w:rsidR="00443B2B" w:rsidRPr="005554E3">
        <w:rPr>
          <w:rFonts w:ascii="Calibri" w:hAnsi="Calibri" w:cs="Arial"/>
          <w:i/>
        </w:rPr>
        <w:t xml:space="preserve"> – </w:t>
      </w:r>
      <w:r w:rsidR="00FF30F4" w:rsidRPr="00D6219F">
        <w:rPr>
          <w:rFonts w:ascii="Calibri" w:hAnsi="Calibri" w:cs="Arial"/>
        </w:rPr>
        <w:t>podkreśla</w:t>
      </w:r>
      <w:r w:rsidR="00443B2B" w:rsidRPr="00D6219F">
        <w:rPr>
          <w:rFonts w:ascii="Calibri" w:hAnsi="Calibri" w:cs="Arial"/>
        </w:rPr>
        <w:t xml:space="preserve"> dr Jacek Krzyżak</w:t>
      </w:r>
      <w:r w:rsidRPr="00D6219F">
        <w:rPr>
          <w:rFonts w:ascii="Calibri" w:hAnsi="Calibri" w:cs="Arial"/>
        </w:rPr>
        <w:t xml:space="preserve">. </w:t>
      </w:r>
      <w:r w:rsidR="00443B2B" w:rsidRPr="005554E3">
        <w:rPr>
          <w:rFonts w:ascii="Calibri" w:hAnsi="Calibri" w:cs="Arial"/>
          <w:i/>
        </w:rPr>
        <w:t xml:space="preserve">– </w:t>
      </w:r>
      <w:r w:rsidRPr="005554E3">
        <w:rPr>
          <w:rFonts w:ascii="Calibri" w:hAnsi="Calibri" w:cs="Arial"/>
          <w:i/>
        </w:rPr>
        <w:t>W porównaniu z wierzbą wiciową</w:t>
      </w:r>
      <w:r w:rsidR="00E57AE9">
        <w:rPr>
          <w:rFonts w:ascii="Calibri" w:hAnsi="Calibri" w:cs="Arial"/>
          <w:i/>
        </w:rPr>
        <w:t>,</w:t>
      </w:r>
      <w:r w:rsidRPr="005554E3">
        <w:rPr>
          <w:rFonts w:ascii="Calibri" w:hAnsi="Calibri" w:cs="Arial"/>
          <w:i/>
        </w:rPr>
        <w:t xml:space="preserve"> wymagającą do uprawy gleb żyznych i zasobnych w wodę</w:t>
      </w:r>
      <w:r w:rsidR="00E57AE9">
        <w:rPr>
          <w:rFonts w:ascii="Calibri" w:hAnsi="Calibri" w:cs="Arial"/>
          <w:i/>
        </w:rPr>
        <w:t>,</w:t>
      </w:r>
      <w:r w:rsidRPr="005554E3">
        <w:rPr>
          <w:rFonts w:ascii="Calibri" w:hAnsi="Calibri" w:cs="Arial"/>
          <w:i/>
        </w:rPr>
        <w:t xml:space="preserve"> nie powodują ich wyjałowienia</w:t>
      </w:r>
      <w:r w:rsidR="00443B2B" w:rsidRPr="005554E3">
        <w:rPr>
          <w:rFonts w:ascii="Calibri" w:hAnsi="Calibri" w:cs="Arial"/>
          <w:i/>
        </w:rPr>
        <w:t>. W</w:t>
      </w:r>
      <w:r w:rsidRPr="005554E3">
        <w:rPr>
          <w:rFonts w:ascii="Calibri" w:hAnsi="Calibri" w:cs="Arial"/>
          <w:i/>
        </w:rPr>
        <w:t xml:space="preserve"> przypadku </w:t>
      </w:r>
      <w:proofErr w:type="spellStart"/>
      <w:r w:rsidRPr="005554E3">
        <w:rPr>
          <w:rFonts w:ascii="Calibri" w:hAnsi="Calibri" w:cs="Arial"/>
          <w:i/>
        </w:rPr>
        <w:t>miskanta</w:t>
      </w:r>
      <w:proofErr w:type="spellEnd"/>
      <w:r w:rsidR="00671D0D">
        <w:rPr>
          <w:rFonts w:ascii="Calibri" w:hAnsi="Calibri" w:cs="Arial"/>
          <w:i/>
        </w:rPr>
        <w:t>,</w:t>
      </w:r>
      <w:r w:rsidRPr="005554E3">
        <w:rPr>
          <w:rFonts w:ascii="Calibri" w:hAnsi="Calibri" w:cs="Arial"/>
          <w:i/>
        </w:rPr>
        <w:t xml:space="preserve"> zrzucającego zim</w:t>
      </w:r>
      <w:r w:rsidR="00443B2B" w:rsidRPr="005554E3">
        <w:rPr>
          <w:rFonts w:ascii="Calibri" w:hAnsi="Calibri" w:cs="Arial"/>
          <w:i/>
        </w:rPr>
        <w:t>ą</w:t>
      </w:r>
      <w:r w:rsidRPr="005554E3">
        <w:rPr>
          <w:rFonts w:ascii="Calibri" w:hAnsi="Calibri" w:cs="Arial"/>
          <w:i/>
        </w:rPr>
        <w:t xml:space="preserve"> znaczne ilości liści</w:t>
      </w:r>
      <w:r w:rsidR="00671D0D">
        <w:rPr>
          <w:rFonts w:ascii="Calibri" w:hAnsi="Calibri" w:cs="Arial"/>
          <w:i/>
        </w:rPr>
        <w:t>,</w:t>
      </w:r>
      <w:r w:rsidRPr="005554E3">
        <w:rPr>
          <w:rFonts w:ascii="Calibri" w:hAnsi="Calibri" w:cs="Arial"/>
          <w:i/>
        </w:rPr>
        <w:t xml:space="preserve"> przyczyniają się do odbudowy puli węgla w glebie, co wraz z dobrze rozwiniętym systemem kłączy i korzeni umożliwi znaczący wzrost jego </w:t>
      </w:r>
      <w:r w:rsidR="00FF30F4">
        <w:rPr>
          <w:rFonts w:ascii="Calibri" w:hAnsi="Calibri" w:cs="Arial"/>
          <w:i/>
        </w:rPr>
        <w:t>zatrzymywania w glebie</w:t>
      </w:r>
      <w:r w:rsidRPr="005554E3">
        <w:rPr>
          <w:rFonts w:ascii="Calibri" w:hAnsi="Calibri" w:cs="Arial"/>
          <w:i/>
        </w:rPr>
        <w:t xml:space="preserve">. Pozwalają uzyskać znacznie większy plon, zapewniając co roku wysokiej jakości biomasę gotową do produkcji energii. Zwarta struktura łanu ogranicza </w:t>
      </w:r>
      <w:r w:rsidR="00CA6D3B">
        <w:rPr>
          <w:rFonts w:ascii="Calibri" w:hAnsi="Calibri" w:cs="Arial"/>
          <w:i/>
        </w:rPr>
        <w:t>zachwaszczenie</w:t>
      </w:r>
      <w:r w:rsidRPr="005554E3">
        <w:rPr>
          <w:rFonts w:ascii="Calibri" w:hAnsi="Calibri" w:cs="Arial"/>
          <w:i/>
        </w:rPr>
        <w:t>, jednocześnie zapewniając siedliska lęgowe dla wielu gatunków ptaków.</w:t>
      </w:r>
    </w:p>
    <w:p w14:paraId="4CC1113F" w14:textId="25856F02" w:rsidR="00976864" w:rsidRPr="00D6219F" w:rsidRDefault="00443B2B" w:rsidP="00F516F9">
      <w:pPr>
        <w:tabs>
          <w:tab w:val="left" w:pos="1418"/>
        </w:tabs>
        <w:spacing w:after="120"/>
        <w:ind w:right="-142"/>
        <w:rPr>
          <w:i/>
        </w:rPr>
      </w:pPr>
      <w:r w:rsidRPr="00D6219F">
        <w:rPr>
          <w:rFonts w:ascii="Calibri" w:hAnsi="Calibri" w:cs="Arial"/>
          <w:i/>
        </w:rPr>
        <w:t>W projekcie MISCOMAR p</w:t>
      </w:r>
      <w:r w:rsidR="00C447F6" w:rsidRPr="00D6219F">
        <w:rPr>
          <w:rFonts w:ascii="Calibri" w:hAnsi="Calibri" w:cs="Arial"/>
          <w:i/>
        </w:rPr>
        <w:t>rowadz</w:t>
      </w:r>
      <w:r w:rsidR="009B0EF7" w:rsidRPr="00D6219F">
        <w:rPr>
          <w:rFonts w:ascii="Calibri" w:hAnsi="Calibri" w:cs="Arial"/>
          <w:i/>
        </w:rPr>
        <w:t>imy</w:t>
      </w:r>
      <w:r w:rsidR="00C447F6" w:rsidRPr="00D6219F">
        <w:rPr>
          <w:rFonts w:ascii="Calibri" w:hAnsi="Calibri" w:cs="Arial"/>
          <w:i/>
        </w:rPr>
        <w:t xml:space="preserve"> prace nad wypracowaniem technik uprawy </w:t>
      </w:r>
      <w:proofErr w:type="spellStart"/>
      <w:r w:rsidR="00C447F6" w:rsidRPr="00D6219F">
        <w:rPr>
          <w:rFonts w:ascii="Calibri" w:hAnsi="Calibri" w:cs="Arial"/>
          <w:i/>
        </w:rPr>
        <w:t>miskanta</w:t>
      </w:r>
      <w:proofErr w:type="spellEnd"/>
      <w:r w:rsidR="00C447F6" w:rsidRPr="00D6219F">
        <w:rPr>
          <w:rFonts w:ascii="Calibri" w:hAnsi="Calibri" w:cs="Arial"/>
          <w:i/>
        </w:rPr>
        <w:t xml:space="preserve"> na glebach wyłączonych z produkcji rolnej, w szczególności: zanieczyszczonych metalami ciężkimi (Polska), niskiej klasy</w:t>
      </w:r>
      <w:r w:rsidR="00E57AE9">
        <w:rPr>
          <w:rFonts w:ascii="Calibri" w:hAnsi="Calibri" w:cs="Arial"/>
          <w:i/>
        </w:rPr>
        <w:t>,</w:t>
      </w:r>
      <w:r w:rsidR="00C447F6" w:rsidRPr="00D6219F">
        <w:rPr>
          <w:rFonts w:ascii="Calibri" w:hAnsi="Calibri" w:cs="Arial"/>
          <w:i/>
        </w:rPr>
        <w:t xml:space="preserve"> płytkich i kamienistych (</w:t>
      </w:r>
      <w:r w:rsidR="00976864" w:rsidRPr="00D6219F">
        <w:rPr>
          <w:rFonts w:ascii="Calibri" w:hAnsi="Calibri" w:cs="Arial"/>
          <w:i/>
        </w:rPr>
        <w:t xml:space="preserve">Wielka Brytania, </w:t>
      </w:r>
      <w:r w:rsidR="00C447F6" w:rsidRPr="00D6219F">
        <w:rPr>
          <w:rFonts w:ascii="Calibri" w:hAnsi="Calibri" w:cs="Arial"/>
          <w:i/>
        </w:rPr>
        <w:t>Walia) oraz</w:t>
      </w:r>
      <w:r w:rsidR="000757C1" w:rsidRPr="00D6219F">
        <w:rPr>
          <w:rFonts w:ascii="Calibri" w:hAnsi="Calibri" w:cs="Arial"/>
          <w:i/>
        </w:rPr>
        <w:t xml:space="preserve"> okresowo</w:t>
      </w:r>
      <w:r w:rsidR="00C447F6" w:rsidRPr="00D6219F">
        <w:rPr>
          <w:rFonts w:ascii="Calibri" w:hAnsi="Calibri" w:cs="Arial"/>
          <w:i/>
        </w:rPr>
        <w:t xml:space="preserve"> zalewowych, o wysokim udziale frakcji pylastej (Niemcy).</w:t>
      </w:r>
      <w:r w:rsidR="009B0EF7" w:rsidRPr="00443B2B">
        <w:rPr>
          <w:rFonts w:ascii="Calibri" w:hAnsi="Calibri" w:cs="Arial"/>
        </w:rPr>
        <w:t xml:space="preserve"> </w:t>
      </w:r>
      <w:r w:rsidR="00CC025D" w:rsidRPr="00D6219F">
        <w:rPr>
          <w:i/>
        </w:rPr>
        <w:t xml:space="preserve">Współpracujemy z dwoma europejskimi jednostkami naukowymi od wielu lat zajmującymi się problematyką uprawy biomasy na cele energetyczne – Uniwersytetem z </w:t>
      </w:r>
      <w:proofErr w:type="spellStart"/>
      <w:r w:rsidR="00CC025D" w:rsidRPr="00D6219F">
        <w:rPr>
          <w:i/>
        </w:rPr>
        <w:t>Aberystwyth</w:t>
      </w:r>
      <w:proofErr w:type="spellEnd"/>
      <w:r w:rsidR="00CC025D" w:rsidRPr="00D6219F">
        <w:rPr>
          <w:i/>
        </w:rPr>
        <w:t xml:space="preserve"> (</w:t>
      </w:r>
      <w:r w:rsidR="001772D8" w:rsidRPr="00D6219F">
        <w:rPr>
          <w:i/>
        </w:rPr>
        <w:t>Wielka Brytania</w:t>
      </w:r>
      <w:r w:rsidR="00CC025D" w:rsidRPr="00D6219F">
        <w:rPr>
          <w:i/>
        </w:rPr>
        <w:t xml:space="preserve">) oraz Uniwersytetem z </w:t>
      </w:r>
      <w:proofErr w:type="spellStart"/>
      <w:r w:rsidR="00CC025D" w:rsidRPr="00D6219F">
        <w:rPr>
          <w:i/>
        </w:rPr>
        <w:t>Hohenheim</w:t>
      </w:r>
      <w:proofErr w:type="spellEnd"/>
      <w:r w:rsidR="00CC025D" w:rsidRPr="00D6219F">
        <w:rPr>
          <w:i/>
        </w:rPr>
        <w:t xml:space="preserve"> (Niemcy</w:t>
      </w:r>
      <w:r w:rsidR="00CC025D" w:rsidRPr="00D6219F">
        <w:t xml:space="preserve">) – mówi dr Marta </w:t>
      </w:r>
      <w:proofErr w:type="spellStart"/>
      <w:r w:rsidR="00CC025D" w:rsidRPr="00D6219F">
        <w:t>Pogrzeba</w:t>
      </w:r>
      <w:proofErr w:type="spellEnd"/>
      <w:r w:rsidR="00CC025D" w:rsidRPr="00D6219F">
        <w:t xml:space="preserve">, koordynator projektu. – </w:t>
      </w:r>
      <w:r w:rsidR="002327B0" w:rsidRPr="00D6219F">
        <w:t>Dzięki współpracy z</w:t>
      </w:r>
      <w:r w:rsidR="00671D0D">
        <w:t> </w:t>
      </w:r>
      <w:r w:rsidR="002327B0" w:rsidRPr="00D6219F">
        <w:rPr>
          <w:i/>
        </w:rPr>
        <w:t xml:space="preserve">Uniwersytetem z </w:t>
      </w:r>
      <w:proofErr w:type="spellStart"/>
      <w:r w:rsidR="002327B0" w:rsidRPr="00D6219F">
        <w:rPr>
          <w:i/>
        </w:rPr>
        <w:t>Aberystwyth</w:t>
      </w:r>
      <w:proofErr w:type="spellEnd"/>
      <w:r w:rsidR="002327B0" w:rsidRPr="00D6219F">
        <w:t xml:space="preserve"> </w:t>
      </w:r>
      <w:r w:rsidR="002327B0" w:rsidRPr="00D6219F">
        <w:rPr>
          <w:i/>
        </w:rPr>
        <w:t xml:space="preserve">mamy możliwość testowania nasiennych </w:t>
      </w:r>
      <w:r w:rsidR="00871D3C" w:rsidRPr="00D6219F">
        <w:rPr>
          <w:i/>
        </w:rPr>
        <w:t xml:space="preserve">genotypów </w:t>
      </w:r>
      <w:proofErr w:type="spellStart"/>
      <w:r w:rsidR="00871D3C" w:rsidRPr="00D6219F">
        <w:rPr>
          <w:i/>
        </w:rPr>
        <w:t>miskanta</w:t>
      </w:r>
      <w:proofErr w:type="spellEnd"/>
      <w:r w:rsidR="002327B0" w:rsidRPr="00D6219F">
        <w:rPr>
          <w:i/>
        </w:rPr>
        <w:t xml:space="preserve">. </w:t>
      </w:r>
      <w:r w:rsidR="00CC025D" w:rsidRPr="00D6219F">
        <w:rPr>
          <w:i/>
        </w:rPr>
        <w:t xml:space="preserve">Dla nas ta współpraca to </w:t>
      </w:r>
      <w:r w:rsidR="002327B0" w:rsidRPr="00D6219F">
        <w:rPr>
          <w:i/>
        </w:rPr>
        <w:t>olbrzymi prestiż</w:t>
      </w:r>
      <w:r w:rsidR="00E57AE9">
        <w:rPr>
          <w:i/>
        </w:rPr>
        <w:t>,</w:t>
      </w:r>
      <w:r w:rsidR="002327B0" w:rsidRPr="00D6219F">
        <w:rPr>
          <w:i/>
        </w:rPr>
        <w:t xml:space="preserve"> ponieważ współpracujemy z najlepszymi specjalistami w Europie.</w:t>
      </w:r>
    </w:p>
    <w:p w14:paraId="25BF6C43" w14:textId="08B66AF0" w:rsidR="00D6219F" w:rsidRDefault="00CC025D" w:rsidP="00F516F9">
      <w:pPr>
        <w:tabs>
          <w:tab w:val="left" w:pos="1418"/>
        </w:tabs>
        <w:spacing w:after="120"/>
        <w:ind w:right="-142"/>
        <w:rPr>
          <w:rFonts w:ascii="Calibri" w:hAnsi="Calibri" w:cs="Arial"/>
        </w:rPr>
      </w:pPr>
      <w:r w:rsidRPr="00F516F9">
        <w:rPr>
          <w:rFonts w:ascii="Calibri" w:hAnsi="Calibri" w:cs="Arial"/>
        </w:rPr>
        <w:t xml:space="preserve">W projekcie </w:t>
      </w:r>
      <w:r w:rsidR="00746788" w:rsidRPr="00F516F9">
        <w:rPr>
          <w:rFonts w:ascii="Calibri" w:hAnsi="Calibri" w:cs="Arial"/>
        </w:rPr>
        <w:t>PHYTO2ENERGY</w:t>
      </w:r>
      <w:r w:rsidR="00322805">
        <w:rPr>
          <w:rFonts w:ascii="Calibri" w:hAnsi="Calibri" w:cs="Arial"/>
        </w:rPr>
        <w:t xml:space="preserve"> badania dotyczą </w:t>
      </w:r>
      <w:r w:rsidR="00E57AE9">
        <w:rPr>
          <w:rFonts w:ascii="Calibri" w:hAnsi="Calibri" w:cs="Arial"/>
        </w:rPr>
        <w:t xml:space="preserve">dostosowania </w:t>
      </w:r>
      <w:r w:rsidR="00322805">
        <w:rPr>
          <w:rFonts w:ascii="Calibri" w:hAnsi="Calibri" w:cs="Arial"/>
        </w:rPr>
        <w:t>uprawy roślin energetycznych na glebach zanieczyszczonych metalami ciężkimi do planowanego zagospodarowania terenu</w:t>
      </w:r>
      <w:r w:rsidR="00D65299">
        <w:rPr>
          <w:rFonts w:ascii="Calibri" w:hAnsi="Calibri" w:cs="Arial"/>
        </w:rPr>
        <w:t xml:space="preserve"> oraz konwersji uzyskanej biomasy roślinnej </w:t>
      </w:r>
      <w:r w:rsidR="00E57AE9">
        <w:rPr>
          <w:rFonts w:ascii="Calibri" w:hAnsi="Calibri" w:cs="Arial"/>
        </w:rPr>
        <w:t xml:space="preserve">na </w:t>
      </w:r>
      <w:r w:rsidR="00322805">
        <w:rPr>
          <w:rFonts w:ascii="Calibri" w:hAnsi="Calibri" w:cs="Arial"/>
        </w:rPr>
        <w:t xml:space="preserve">cele energetyczne </w:t>
      </w:r>
      <w:r w:rsidR="000757C1">
        <w:rPr>
          <w:rFonts w:ascii="Calibri" w:hAnsi="Calibri" w:cs="Arial"/>
        </w:rPr>
        <w:t>w procesie zgazowania</w:t>
      </w:r>
      <w:r w:rsidR="00322805">
        <w:rPr>
          <w:rFonts w:ascii="Calibri" w:hAnsi="Calibri" w:cs="Arial"/>
        </w:rPr>
        <w:t xml:space="preserve">. </w:t>
      </w:r>
      <w:r w:rsidR="00322805" w:rsidRPr="000A0B28">
        <w:rPr>
          <w:rFonts w:ascii="Calibri" w:hAnsi="Calibri" w:cs="Arial"/>
        </w:rPr>
        <w:t>W przypadku zanieczyszczonych gleb rolnych, które wykazują potenc</w:t>
      </w:r>
      <w:r w:rsidR="005F133F" w:rsidRPr="000A0B28">
        <w:rPr>
          <w:rFonts w:ascii="Calibri" w:hAnsi="Calibri" w:cs="Arial"/>
        </w:rPr>
        <w:t xml:space="preserve">jał w zakresie przywrócenia </w:t>
      </w:r>
      <w:r w:rsidR="00322805" w:rsidRPr="000A0B28">
        <w:rPr>
          <w:rFonts w:ascii="Calibri" w:hAnsi="Calibri" w:cs="Arial"/>
        </w:rPr>
        <w:t>pod uprawy konsumpcyjne</w:t>
      </w:r>
      <w:r w:rsidR="005F133F" w:rsidRPr="000A0B28">
        <w:rPr>
          <w:rFonts w:ascii="Calibri" w:hAnsi="Calibri" w:cs="Arial"/>
        </w:rPr>
        <w:t xml:space="preserve">, stymulowanie wzrostu biomasy ma na celu </w:t>
      </w:r>
      <w:r w:rsidRPr="000A0B28">
        <w:rPr>
          <w:rFonts w:ascii="Calibri" w:hAnsi="Calibri" w:cs="Arial"/>
        </w:rPr>
        <w:t>zwiększenie poboru i akumulacji metali ciężkich w nadziemnych częściach roślin.</w:t>
      </w:r>
      <w:r w:rsidR="005F133F" w:rsidRPr="000A0B28">
        <w:rPr>
          <w:rFonts w:ascii="Calibri" w:hAnsi="Calibri" w:cs="Arial"/>
        </w:rPr>
        <w:t xml:space="preserve"> Natomiast w przypadku zanieczyszczonych nieużytków, opracowanie odpowiednich metod stymulowania wzrostu biomasy ma przede wszystkim umożliwić zagospodarowanie tych terenów pod uprawy energetyczne w sposób ekonomicznie opłacalny. </w:t>
      </w:r>
    </w:p>
    <w:p w14:paraId="3BA92008" w14:textId="36654E90" w:rsidR="00746788" w:rsidRPr="00F516F9" w:rsidRDefault="00746788" w:rsidP="00F516F9">
      <w:pPr>
        <w:tabs>
          <w:tab w:val="left" w:pos="1418"/>
        </w:tabs>
        <w:spacing w:after="120"/>
        <w:ind w:right="-142"/>
        <w:rPr>
          <w:rFonts w:ascii="Calibri" w:hAnsi="Calibri" w:cs="Arial"/>
        </w:rPr>
      </w:pPr>
      <w:r w:rsidRPr="00F516F9">
        <w:rPr>
          <w:rFonts w:ascii="Calibri" w:hAnsi="Calibri" w:cs="Arial"/>
        </w:rPr>
        <w:t>Doświadczenia polowe rozpoczęto w 2014 r. i zakończą się w tym roku. Prowadzone są na dwóch terenach zanieczyszczonych metalami ciężkimi: w Polsce (grunty orne) i w Niemczech (teren poprzemysłowy). Istotnym elementem prowadzonych prac są badania mikrobiologiczne, które pozwolą na opracowanie nowe</w:t>
      </w:r>
      <w:r w:rsidR="005F133F">
        <w:rPr>
          <w:rFonts w:ascii="Calibri" w:hAnsi="Calibri" w:cs="Arial"/>
        </w:rPr>
        <w:t>go biopreparatu</w:t>
      </w:r>
      <w:r w:rsidRPr="00F516F9">
        <w:rPr>
          <w:rFonts w:ascii="Calibri" w:hAnsi="Calibri" w:cs="Arial"/>
        </w:rPr>
        <w:t xml:space="preserve"> wspomagające</w:t>
      </w:r>
      <w:r w:rsidR="005F133F">
        <w:rPr>
          <w:rFonts w:ascii="Calibri" w:hAnsi="Calibri" w:cs="Arial"/>
        </w:rPr>
        <w:t>go</w:t>
      </w:r>
      <w:r w:rsidRPr="00F516F9">
        <w:rPr>
          <w:rFonts w:ascii="Calibri" w:hAnsi="Calibri" w:cs="Arial"/>
        </w:rPr>
        <w:t xml:space="preserve"> zwiększenie produkcji biomasy na terenach zanieczyszczonych metalami ciężkimi.</w:t>
      </w:r>
      <w:r w:rsidR="005F133F">
        <w:rPr>
          <w:rFonts w:ascii="Calibri" w:hAnsi="Calibri" w:cs="Arial"/>
        </w:rPr>
        <w:t xml:space="preserve"> </w:t>
      </w:r>
      <w:r w:rsidR="006829D0">
        <w:rPr>
          <w:rFonts w:ascii="Calibri" w:hAnsi="Calibri" w:cs="Arial"/>
        </w:rPr>
        <w:t>Zanieczyszczony metalami ciężkimi plon energetyczny</w:t>
      </w:r>
      <w:r w:rsidR="005F133F">
        <w:rPr>
          <w:rFonts w:ascii="Calibri" w:hAnsi="Calibri" w:cs="Arial"/>
        </w:rPr>
        <w:t xml:space="preserve"> </w:t>
      </w:r>
      <w:r w:rsidR="006829D0">
        <w:rPr>
          <w:rFonts w:ascii="Calibri" w:hAnsi="Calibri" w:cs="Arial"/>
        </w:rPr>
        <w:t xml:space="preserve">jest trudniejszym do wykorzystania biopaliwem niż „czysta” biomasa. Badania w ramach projektu </w:t>
      </w:r>
      <w:r w:rsidR="002D344B">
        <w:rPr>
          <w:rFonts w:ascii="Calibri" w:hAnsi="Calibri" w:cs="Arial"/>
        </w:rPr>
        <w:t>PHYTO2ENERGY</w:t>
      </w:r>
      <w:r w:rsidR="006829D0">
        <w:rPr>
          <w:rFonts w:ascii="Calibri" w:hAnsi="Calibri" w:cs="Arial"/>
        </w:rPr>
        <w:t xml:space="preserve"> wykazały, że zgazowanie stanowi najprostszy i</w:t>
      </w:r>
      <w:r w:rsidR="00671D0D">
        <w:rPr>
          <w:rFonts w:ascii="Calibri" w:hAnsi="Calibri" w:cs="Arial"/>
        </w:rPr>
        <w:t> </w:t>
      </w:r>
      <w:r w:rsidR="006829D0">
        <w:rPr>
          <w:rFonts w:ascii="Calibri" w:hAnsi="Calibri" w:cs="Arial"/>
        </w:rPr>
        <w:t xml:space="preserve">najbezpieczniejszy sposób wykorzystania takiego paliwa. </w:t>
      </w:r>
    </w:p>
    <w:p w14:paraId="623E96A4" w14:textId="77777777" w:rsidR="001A1B7B" w:rsidRDefault="00CC025D" w:rsidP="001A1B7B">
      <w:pPr>
        <w:jc w:val="both"/>
      </w:pPr>
      <w:r>
        <w:t xml:space="preserve">Więcej informacji </w:t>
      </w:r>
      <w:hyperlink r:id="rId8" w:history="1">
        <w:r w:rsidR="001A1B7B" w:rsidRPr="00F81D78">
          <w:rPr>
            <w:rStyle w:val="Hipercze"/>
          </w:rPr>
          <w:t>www.phyto2energy.eu</w:t>
        </w:r>
      </w:hyperlink>
      <w:r w:rsidR="001A1B7B">
        <w:t xml:space="preserve"> oraz </w:t>
      </w:r>
      <w:hyperlink r:id="rId9" w:history="1">
        <w:r w:rsidR="001A1B7B" w:rsidRPr="00F81D78">
          <w:rPr>
            <w:rStyle w:val="Hipercze"/>
          </w:rPr>
          <w:t>www.miscomar.eu</w:t>
        </w:r>
      </w:hyperlink>
      <w:r w:rsidR="001A1B7B">
        <w:t>.</w:t>
      </w:r>
    </w:p>
    <w:p w14:paraId="1625F336" w14:textId="77777777" w:rsidR="00BF709F" w:rsidRPr="00015462" w:rsidRDefault="00BF709F" w:rsidP="00BF709F">
      <w:pPr>
        <w:spacing w:after="0"/>
        <w:ind w:left="3402"/>
        <w:rPr>
          <w:rFonts w:ascii="Calibri" w:hAnsi="Calibri" w:cs="Calibri"/>
        </w:rPr>
      </w:pPr>
      <w:r w:rsidRPr="00015462">
        <w:rPr>
          <w:rFonts w:ascii="Calibri" w:hAnsi="Calibri" w:cs="Calibri"/>
        </w:rPr>
        <w:t>Wanda Jarosz, rzecznik prasowy IETU</w:t>
      </w:r>
    </w:p>
    <w:p w14:paraId="48F02C18" w14:textId="77777777" w:rsidR="00BF709F" w:rsidRPr="00015462" w:rsidRDefault="00BF709F" w:rsidP="00BF709F">
      <w:pPr>
        <w:spacing w:after="0"/>
        <w:ind w:left="3402"/>
        <w:rPr>
          <w:rFonts w:ascii="Calibri" w:hAnsi="Calibri" w:cs="Calibri"/>
        </w:rPr>
      </w:pPr>
      <w:r w:rsidRPr="00015462">
        <w:rPr>
          <w:rFonts w:ascii="Calibri" w:hAnsi="Calibri" w:cs="Calibri"/>
        </w:rPr>
        <w:t>tel. 32 254-60-31 wew. 136, kom. 602 484 611</w:t>
      </w:r>
    </w:p>
    <w:p w14:paraId="490801C7" w14:textId="4F544464" w:rsidR="00F516F9" w:rsidRPr="00BF709F" w:rsidRDefault="0025693B" w:rsidP="00510C85">
      <w:pPr>
        <w:ind w:left="3402"/>
        <w:rPr>
          <w:rFonts w:cstheme="minorHAnsi"/>
        </w:rPr>
        <w:sectPr w:rsidR="00F516F9" w:rsidRPr="00BF709F" w:rsidSect="00583966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851" w:bottom="709" w:left="1134" w:header="0" w:footer="295" w:gutter="0"/>
          <w:cols w:space="708"/>
          <w:titlePg/>
          <w:docGrid w:linePitch="360"/>
        </w:sectPr>
      </w:pPr>
      <w:hyperlink r:id="rId14" w:history="1">
        <w:r w:rsidR="00671D0D" w:rsidRPr="000F4AD7">
          <w:rPr>
            <w:rStyle w:val="Hipercze"/>
          </w:rPr>
          <w:t>w.</w:t>
        </w:r>
        <w:r w:rsidR="00671D0D" w:rsidRPr="000F4AD7">
          <w:rPr>
            <w:rStyle w:val="Hipercze"/>
            <w:rFonts w:ascii="Calibri" w:hAnsi="Calibri" w:cs="Calibri"/>
          </w:rPr>
          <w:t>jarosz@ietu.pl</w:t>
        </w:r>
      </w:hyperlink>
      <w:r w:rsidR="00F516F9" w:rsidRPr="00C50DA4">
        <w:rPr>
          <w:rFonts w:ascii="Calibri" w:hAnsi="Calibri" w:cs="Arial"/>
          <w:bCs/>
        </w:rPr>
        <w:t xml:space="preserve"> </w:t>
      </w:r>
    </w:p>
    <w:p w14:paraId="53390C6E" w14:textId="356C5131" w:rsidR="00F516F9" w:rsidRPr="000E4701" w:rsidRDefault="005338D0" w:rsidP="000E4701">
      <w:pPr>
        <w:spacing w:after="120"/>
        <w:rPr>
          <w:rFonts w:ascii="Calibri" w:hAnsi="Calibri" w:cs="Calibri"/>
          <w:b/>
          <w:spacing w:val="28"/>
        </w:rPr>
      </w:pPr>
      <w:r>
        <w:rPr>
          <w:rFonts w:ascii="Calibri" w:hAnsi="Calibri" w:cs="Calibri"/>
          <w:b/>
          <w:spacing w:val="28"/>
        </w:rPr>
        <w:lastRenderedPageBreak/>
        <w:t>TŁO BADAŃ</w:t>
      </w:r>
    </w:p>
    <w:p w14:paraId="681516AB" w14:textId="54CEACEE" w:rsidR="00EF1FC6" w:rsidRPr="00EF1FC6" w:rsidRDefault="00EF1FC6" w:rsidP="00EF1FC6">
      <w:pPr>
        <w:spacing w:after="0"/>
        <w:rPr>
          <w:b/>
        </w:rPr>
      </w:pPr>
      <w:r w:rsidRPr="00EF1FC6">
        <w:rPr>
          <w:b/>
        </w:rPr>
        <w:t>Gleby słabej jakości i zanieczyszczone tzw. grunty marginalne</w:t>
      </w:r>
    </w:p>
    <w:p w14:paraId="28575985" w14:textId="768BB113" w:rsidR="00EF1FC6" w:rsidRDefault="00EF1FC6" w:rsidP="00EF1FC6">
      <w:pPr>
        <w:spacing w:after="120"/>
      </w:pPr>
      <w:r w:rsidRPr="00F516F9">
        <w:t xml:space="preserve">W Polsce </w:t>
      </w:r>
      <w:r>
        <w:t xml:space="preserve">występuje łącznie około </w:t>
      </w:r>
      <w:r w:rsidRPr="005554E3">
        <w:rPr>
          <w:u w:val="single"/>
        </w:rPr>
        <w:t xml:space="preserve">2,3 mln ha gruntów </w:t>
      </w:r>
      <w:r>
        <w:rPr>
          <w:u w:val="single"/>
        </w:rPr>
        <w:t>słabej jakości</w:t>
      </w:r>
      <w:r>
        <w:t xml:space="preserve"> (12,4 proc. użytków rolnych).</w:t>
      </w:r>
      <w:r w:rsidRPr="00F516F9">
        <w:t xml:space="preserve"> </w:t>
      </w:r>
      <w:r>
        <w:t>Natomiast g</w:t>
      </w:r>
      <w:r w:rsidRPr="00D6219F">
        <w:t>leby o różnej wartości bonitacyjnej, ale zanieczyszczone chemicznie</w:t>
      </w:r>
      <w:r>
        <w:t>,</w:t>
      </w:r>
      <w:r w:rsidRPr="00D6219F">
        <w:t xml:space="preserve"> obejmują 140 tys. ha, zaś tereny zniszczone lub przekształcone mechanicznie, pozbawione warstwy próchniczej około 50 tys. ha. (J. Wójcik i in., 2014).</w:t>
      </w:r>
      <w:r>
        <w:t xml:space="preserve"> Na </w:t>
      </w:r>
      <w:r w:rsidRPr="00F516F9">
        <w:t>Górny</w:t>
      </w:r>
      <w:r>
        <w:t>m</w:t>
      </w:r>
      <w:r w:rsidRPr="00F516F9">
        <w:t xml:space="preserve"> i Dolny</w:t>
      </w:r>
      <w:r>
        <w:t>m</w:t>
      </w:r>
      <w:r w:rsidRPr="00F516F9">
        <w:t xml:space="preserve"> Śląsk</w:t>
      </w:r>
      <w:r>
        <w:t>u</w:t>
      </w:r>
      <w:r w:rsidRPr="00F516F9">
        <w:t xml:space="preserve"> czy </w:t>
      </w:r>
      <w:r>
        <w:t xml:space="preserve">w </w:t>
      </w:r>
      <w:r w:rsidRPr="00F516F9">
        <w:t>Małopols</w:t>
      </w:r>
      <w:r>
        <w:t>ce g</w:t>
      </w:r>
      <w:r w:rsidRPr="00F516F9">
        <w:t xml:space="preserve">łównym powodem ich wyłączenia z produkcji na cele żywnościowe i paszowe jest zanieczyszczenie metalami ciężkimi. </w:t>
      </w:r>
    </w:p>
    <w:p w14:paraId="3A12167D" w14:textId="78088E2B" w:rsidR="00EF1FC6" w:rsidRPr="005338D0" w:rsidRDefault="00EF1FC6" w:rsidP="00EF1FC6">
      <w:pPr>
        <w:spacing w:after="120"/>
        <w:rPr>
          <w:u w:val="single"/>
        </w:rPr>
      </w:pPr>
      <w:r>
        <w:t xml:space="preserve">Dodatkowy areał do wykorzystania stanowią nieużytki poprzemysłowe, których tylko w </w:t>
      </w:r>
      <w:r w:rsidR="00BE3BB9">
        <w:t>województwie ś</w:t>
      </w:r>
      <w:r w:rsidRPr="000D0F93">
        <w:t xml:space="preserve">ląskim jest około </w:t>
      </w:r>
      <w:r w:rsidRPr="005338D0">
        <w:rPr>
          <w:u w:val="single"/>
        </w:rPr>
        <w:t>18 tys. ha</w:t>
      </w:r>
      <w:r w:rsidRPr="000D0F93">
        <w:t xml:space="preserve"> (Opracowanie </w:t>
      </w:r>
      <w:proofErr w:type="spellStart"/>
      <w:r w:rsidRPr="000D0F93">
        <w:t>ekofizjograficzne</w:t>
      </w:r>
      <w:proofErr w:type="spellEnd"/>
      <w:r w:rsidRPr="000D0F93">
        <w:t xml:space="preserve"> do planu zagospodarowania województwa śląskiego, 2015)</w:t>
      </w:r>
      <w:r>
        <w:t xml:space="preserve">. </w:t>
      </w:r>
      <w:r>
        <w:rPr>
          <w:rFonts w:ascii="Calibri" w:hAnsi="Calibri" w:cs="Arial"/>
        </w:rPr>
        <w:t>Z</w:t>
      </w:r>
      <w:r w:rsidRPr="00A769F6">
        <w:rPr>
          <w:rFonts w:ascii="Calibri" w:hAnsi="Calibri" w:cs="Arial"/>
        </w:rPr>
        <w:t xml:space="preserve">arządzający terenami poprzemysłowymi często </w:t>
      </w:r>
      <w:r>
        <w:rPr>
          <w:rFonts w:ascii="Calibri" w:hAnsi="Calibri" w:cs="Arial"/>
        </w:rPr>
        <w:t>nie dysponują</w:t>
      </w:r>
      <w:r w:rsidRPr="00A769F6">
        <w:rPr>
          <w:rFonts w:ascii="Calibri" w:hAnsi="Calibri" w:cs="Arial"/>
        </w:rPr>
        <w:t xml:space="preserve"> fundusz</w:t>
      </w:r>
      <w:r>
        <w:rPr>
          <w:rFonts w:ascii="Calibri" w:hAnsi="Calibri" w:cs="Arial"/>
        </w:rPr>
        <w:t>ami</w:t>
      </w:r>
      <w:r w:rsidRPr="00A769F6">
        <w:rPr>
          <w:rFonts w:ascii="Calibri" w:hAnsi="Calibri" w:cs="Arial"/>
        </w:rPr>
        <w:t xml:space="preserve"> na ich </w:t>
      </w:r>
      <w:r>
        <w:rPr>
          <w:rFonts w:ascii="Calibri" w:hAnsi="Calibri" w:cs="Arial"/>
        </w:rPr>
        <w:t xml:space="preserve">oczyszczenie i nie mają pomysłu na ponowne </w:t>
      </w:r>
      <w:r w:rsidRPr="00A769F6">
        <w:rPr>
          <w:rFonts w:ascii="Calibri" w:hAnsi="Calibri" w:cs="Arial"/>
        </w:rPr>
        <w:t>zagospodarowanie</w:t>
      </w:r>
      <w:r>
        <w:rPr>
          <w:rFonts w:ascii="Calibri" w:hAnsi="Calibri" w:cs="Arial"/>
        </w:rPr>
        <w:t>.</w:t>
      </w:r>
      <w:r w:rsidRPr="001C77EC">
        <w:t xml:space="preserve"> </w:t>
      </w:r>
      <w:r w:rsidRPr="005338D0">
        <w:rPr>
          <w:u w:val="single"/>
        </w:rPr>
        <w:t>Część tych terenów może z powodzeniem zostać wykorzystana pod uprawę roślin energetycznych.</w:t>
      </w:r>
    </w:p>
    <w:p w14:paraId="312123D0" w14:textId="002A2708" w:rsidR="00F516F9" w:rsidRPr="00C50DA4" w:rsidRDefault="004B7A10" w:rsidP="005338D0">
      <w:pPr>
        <w:tabs>
          <w:tab w:val="left" w:pos="1418"/>
        </w:tabs>
        <w:spacing w:after="0"/>
        <w:ind w:right="-427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Badania nad biologicznym oczyszczaniem gleb prowadzone w </w:t>
      </w:r>
      <w:r w:rsidR="00F516F9" w:rsidRPr="00C50DA4">
        <w:rPr>
          <w:rFonts w:ascii="Calibri" w:hAnsi="Calibri" w:cs="Arial"/>
          <w:b/>
        </w:rPr>
        <w:t>Instytu</w:t>
      </w:r>
      <w:r>
        <w:rPr>
          <w:rFonts w:ascii="Calibri" w:hAnsi="Calibri" w:cs="Arial"/>
          <w:b/>
        </w:rPr>
        <w:t>cie</w:t>
      </w:r>
      <w:r w:rsidR="00F516F9" w:rsidRPr="00C50DA4">
        <w:rPr>
          <w:rFonts w:ascii="Calibri" w:hAnsi="Calibri" w:cs="Arial"/>
          <w:b/>
        </w:rPr>
        <w:t xml:space="preserve"> Ekologii Terenów Uprzemysłowionych</w:t>
      </w:r>
      <w:r w:rsidR="00F516F9">
        <w:rPr>
          <w:rFonts w:ascii="Calibri" w:hAnsi="Calibri" w:cs="Arial"/>
          <w:b/>
        </w:rPr>
        <w:t xml:space="preserve"> </w:t>
      </w:r>
    </w:p>
    <w:p w14:paraId="5F67B1E9" w14:textId="77777777" w:rsidR="00F516F9" w:rsidRPr="00877F05" w:rsidRDefault="00F516F9" w:rsidP="005554E3">
      <w:pPr>
        <w:spacing w:after="120"/>
        <w:rPr>
          <w:rFonts w:ascii="Calibri" w:hAnsi="Calibri" w:cs="Arial"/>
          <w:bCs/>
        </w:rPr>
      </w:pPr>
      <w:r w:rsidRPr="00877F05">
        <w:rPr>
          <w:rFonts w:ascii="Calibri" w:hAnsi="Calibri" w:cs="Arial"/>
          <w:bCs/>
        </w:rPr>
        <w:t>W latach 80</w:t>
      </w:r>
      <w:r>
        <w:rPr>
          <w:rFonts w:ascii="Calibri" w:hAnsi="Calibri" w:cs="Arial"/>
          <w:bCs/>
        </w:rPr>
        <w:t>.</w:t>
      </w:r>
      <w:r w:rsidRPr="00877F05">
        <w:rPr>
          <w:rFonts w:ascii="Calibri" w:hAnsi="Calibri" w:cs="Arial"/>
          <w:bCs/>
        </w:rPr>
        <w:t xml:space="preserve"> ubiegłego wieku IETU rozpoczął </w:t>
      </w:r>
      <w:r w:rsidRPr="00877F05">
        <w:rPr>
          <w:rFonts w:ascii="Calibri" w:hAnsi="Calibri" w:cs="Arial"/>
          <w:bCs/>
          <w:u w:val="single"/>
        </w:rPr>
        <w:t>badania nad wpływem emisji przemysłowych na rośliny oraz możliwościami zapobiegania ich skutkom</w:t>
      </w:r>
      <w:r w:rsidRPr="00877F05">
        <w:rPr>
          <w:rFonts w:ascii="Calibri" w:hAnsi="Calibri" w:cs="Arial"/>
          <w:bCs/>
        </w:rPr>
        <w:t>. Stanowiły one podstawę do stworzenia monitoringu zanieczyszczenia gleb i roślin metalami ciężkimi oraz opracowania kryteriów oceny zanieczyszczenia terenów rolniczych pod kątem prowadzenia upraw bezpiecznych dla konsumentów.</w:t>
      </w:r>
    </w:p>
    <w:p w14:paraId="28211F32" w14:textId="643DBC62" w:rsidR="00F516F9" w:rsidRPr="00877F05" w:rsidRDefault="00F516F9" w:rsidP="005554E3">
      <w:pPr>
        <w:spacing w:after="120"/>
        <w:rPr>
          <w:rFonts w:ascii="Calibri" w:hAnsi="Calibri" w:cs="Arial"/>
          <w:bCs/>
        </w:rPr>
      </w:pPr>
      <w:r w:rsidRPr="00877F05">
        <w:rPr>
          <w:rFonts w:ascii="Calibri" w:hAnsi="Calibri" w:cs="Arial"/>
          <w:bCs/>
        </w:rPr>
        <w:t xml:space="preserve">Od 1996 r. IETU zajmuje się badaniami nad </w:t>
      </w:r>
      <w:r w:rsidRPr="00877F05">
        <w:rPr>
          <w:rFonts w:ascii="Calibri" w:hAnsi="Calibri" w:cs="Arial"/>
          <w:bCs/>
          <w:u w:val="single"/>
        </w:rPr>
        <w:t xml:space="preserve">biologiczną </w:t>
      </w:r>
      <w:proofErr w:type="spellStart"/>
      <w:r w:rsidRPr="00877F05">
        <w:rPr>
          <w:rFonts w:ascii="Calibri" w:hAnsi="Calibri" w:cs="Arial"/>
          <w:bCs/>
          <w:u w:val="single"/>
        </w:rPr>
        <w:t>remediacją</w:t>
      </w:r>
      <w:proofErr w:type="spellEnd"/>
      <w:r w:rsidR="000E4701">
        <w:rPr>
          <w:rFonts w:ascii="Calibri" w:hAnsi="Calibri" w:cs="Arial"/>
          <w:bCs/>
          <w:u w:val="single"/>
        </w:rPr>
        <w:t xml:space="preserve"> (oczyszczaniem)</w:t>
      </w:r>
      <w:r w:rsidRPr="00877F05">
        <w:rPr>
          <w:rFonts w:ascii="Calibri" w:hAnsi="Calibri" w:cs="Arial"/>
          <w:bCs/>
          <w:u w:val="single"/>
        </w:rPr>
        <w:t xml:space="preserve"> gleb na terenach poprzemysłowych</w:t>
      </w:r>
      <w:r w:rsidRPr="00877F05">
        <w:rPr>
          <w:rFonts w:ascii="Calibri" w:hAnsi="Calibri" w:cs="Arial"/>
          <w:bCs/>
        </w:rPr>
        <w:t xml:space="preserve">, prowadzoną w kierunku zmniejszenia zagrożeń wynikających z </w:t>
      </w:r>
      <w:r>
        <w:rPr>
          <w:rFonts w:ascii="Calibri" w:hAnsi="Calibri" w:cs="Arial"/>
          <w:bCs/>
        </w:rPr>
        <w:t>przenikania</w:t>
      </w:r>
      <w:r w:rsidRPr="00877F05">
        <w:rPr>
          <w:rFonts w:ascii="Calibri" w:hAnsi="Calibri" w:cs="Arial"/>
          <w:bCs/>
        </w:rPr>
        <w:t xml:space="preserve"> metali ciężkich ze środowiska glebowego do organizmów żywych. </w:t>
      </w:r>
      <w:r w:rsidR="000E4701">
        <w:rPr>
          <w:rFonts w:ascii="Calibri" w:hAnsi="Calibri" w:cs="Arial"/>
          <w:bCs/>
        </w:rPr>
        <w:t xml:space="preserve">Badania </w:t>
      </w:r>
      <w:r w:rsidRPr="00877F05">
        <w:rPr>
          <w:rFonts w:ascii="Calibri" w:hAnsi="Calibri" w:cs="Arial"/>
          <w:bCs/>
        </w:rPr>
        <w:t xml:space="preserve">koncentrują się wokół </w:t>
      </w:r>
      <w:r w:rsidRPr="00877F05">
        <w:rPr>
          <w:rFonts w:ascii="Calibri" w:hAnsi="Calibri" w:cs="Arial"/>
          <w:bCs/>
          <w:u w:val="single"/>
        </w:rPr>
        <w:t>ograniczenia pobierania zanieczyszczeń z gleby przez rośliny</w:t>
      </w:r>
      <w:r w:rsidRPr="00877F05">
        <w:rPr>
          <w:rFonts w:ascii="Calibri" w:hAnsi="Calibri" w:cs="Arial"/>
          <w:bCs/>
        </w:rPr>
        <w:t xml:space="preserve"> oraz</w:t>
      </w:r>
      <w:r w:rsidRPr="00877F05">
        <w:rPr>
          <w:rFonts w:ascii="Calibri" w:hAnsi="Calibri" w:cs="Arial"/>
          <w:bCs/>
          <w:u w:val="single"/>
        </w:rPr>
        <w:t xml:space="preserve"> </w:t>
      </w:r>
      <w:r w:rsidR="000E4701">
        <w:rPr>
          <w:rFonts w:ascii="Calibri" w:hAnsi="Calibri" w:cs="Arial"/>
          <w:bCs/>
          <w:u w:val="single"/>
        </w:rPr>
        <w:t>oczyszczania</w:t>
      </w:r>
      <w:r w:rsidRPr="00877F05">
        <w:rPr>
          <w:rFonts w:ascii="Calibri" w:hAnsi="Calibri" w:cs="Arial"/>
          <w:bCs/>
          <w:u w:val="single"/>
        </w:rPr>
        <w:t xml:space="preserve"> gleb z zastosowaniem metod </w:t>
      </w:r>
      <w:proofErr w:type="spellStart"/>
      <w:r w:rsidRPr="00877F05">
        <w:rPr>
          <w:rFonts w:ascii="Calibri" w:hAnsi="Calibri" w:cs="Arial"/>
          <w:bCs/>
          <w:u w:val="single"/>
        </w:rPr>
        <w:t>fitoekstrakcji</w:t>
      </w:r>
      <w:proofErr w:type="spellEnd"/>
      <w:r w:rsidRPr="00877F05">
        <w:rPr>
          <w:rFonts w:ascii="Calibri" w:hAnsi="Calibri" w:cs="Arial"/>
          <w:bCs/>
          <w:u w:val="single"/>
        </w:rPr>
        <w:t xml:space="preserve"> i</w:t>
      </w:r>
      <w:r w:rsidR="00BE3BB9">
        <w:rPr>
          <w:rFonts w:ascii="Calibri" w:hAnsi="Calibri" w:cs="Arial"/>
          <w:bCs/>
          <w:u w:val="single"/>
        </w:rPr>
        <w:t> </w:t>
      </w:r>
      <w:proofErr w:type="spellStart"/>
      <w:r w:rsidRPr="00877F05">
        <w:rPr>
          <w:rFonts w:ascii="Calibri" w:hAnsi="Calibri" w:cs="Arial"/>
          <w:bCs/>
          <w:u w:val="single"/>
        </w:rPr>
        <w:t>fitostabilizacji</w:t>
      </w:r>
      <w:proofErr w:type="spellEnd"/>
      <w:r w:rsidRPr="00877F05">
        <w:rPr>
          <w:rFonts w:ascii="Calibri" w:hAnsi="Calibri" w:cs="Arial"/>
          <w:bCs/>
        </w:rPr>
        <w:t>. Prace badawczo-wdrożeniowe dotyczą także wykorzystania plo</w:t>
      </w:r>
      <w:r>
        <w:rPr>
          <w:rFonts w:ascii="Calibri" w:hAnsi="Calibri" w:cs="Arial"/>
          <w:bCs/>
        </w:rPr>
        <w:t xml:space="preserve">nu po procesie </w:t>
      </w:r>
      <w:proofErr w:type="spellStart"/>
      <w:r>
        <w:rPr>
          <w:rFonts w:ascii="Calibri" w:hAnsi="Calibri" w:cs="Arial"/>
          <w:bCs/>
        </w:rPr>
        <w:t>fitoekstrakcji</w:t>
      </w:r>
      <w:proofErr w:type="spellEnd"/>
      <w:r>
        <w:rPr>
          <w:rFonts w:ascii="Calibri" w:hAnsi="Calibri" w:cs="Arial"/>
          <w:bCs/>
        </w:rPr>
        <w:t xml:space="preserve"> w produkcji bioenergii.</w:t>
      </w:r>
    </w:p>
    <w:p w14:paraId="19B69C0E" w14:textId="77777777" w:rsidR="00F516F9" w:rsidRDefault="00F516F9" w:rsidP="00915599">
      <w:pPr>
        <w:spacing w:after="1560"/>
        <w:rPr>
          <w:rFonts w:ascii="Calibri" w:hAnsi="Calibri" w:cs="Arial"/>
          <w:bCs/>
        </w:rPr>
      </w:pPr>
      <w:r w:rsidRPr="00877F05">
        <w:rPr>
          <w:rFonts w:ascii="Calibri" w:hAnsi="Calibri" w:cs="Arial"/>
          <w:bCs/>
        </w:rPr>
        <w:t xml:space="preserve">W ostatnich latach poszerzono zakres badań o mikrobiologiczne aspekty procesów biotechnologii środowiskowych </w:t>
      </w:r>
      <w:r>
        <w:rPr>
          <w:rFonts w:ascii="Calibri" w:hAnsi="Calibri" w:cs="Arial"/>
          <w:bCs/>
        </w:rPr>
        <w:t>–</w:t>
      </w:r>
      <w:r w:rsidRPr="00877F05">
        <w:rPr>
          <w:rFonts w:ascii="Calibri" w:hAnsi="Calibri" w:cs="Arial"/>
          <w:bCs/>
        </w:rPr>
        <w:t xml:space="preserve"> </w:t>
      </w:r>
      <w:proofErr w:type="spellStart"/>
      <w:r w:rsidRPr="00877F05">
        <w:rPr>
          <w:rFonts w:ascii="Calibri" w:hAnsi="Calibri" w:cs="Arial"/>
          <w:bCs/>
        </w:rPr>
        <w:t>fitoremediacji</w:t>
      </w:r>
      <w:proofErr w:type="spellEnd"/>
      <w:r w:rsidRPr="00877F05">
        <w:rPr>
          <w:rFonts w:ascii="Calibri" w:hAnsi="Calibri" w:cs="Arial"/>
          <w:bCs/>
        </w:rPr>
        <w:t xml:space="preserve"> i </w:t>
      </w:r>
      <w:proofErr w:type="spellStart"/>
      <w:r w:rsidRPr="00877F05">
        <w:rPr>
          <w:rFonts w:ascii="Calibri" w:hAnsi="Calibri" w:cs="Arial"/>
          <w:bCs/>
        </w:rPr>
        <w:t>bioremediacji</w:t>
      </w:r>
      <w:proofErr w:type="spellEnd"/>
      <w:r w:rsidRPr="00877F05">
        <w:rPr>
          <w:rFonts w:ascii="Calibri" w:hAnsi="Calibri" w:cs="Arial"/>
          <w:bCs/>
        </w:rPr>
        <w:t xml:space="preserve">. W wyniku tych prac IETU dysponuje szczepami bakteryjnymi produkującymi biologiczne związki powierzchniowo czynne (tzw. </w:t>
      </w:r>
      <w:proofErr w:type="spellStart"/>
      <w:r w:rsidRPr="00877F05">
        <w:rPr>
          <w:rFonts w:ascii="Calibri" w:hAnsi="Calibri" w:cs="Arial"/>
          <w:bCs/>
        </w:rPr>
        <w:t>biosurfaktanty</w:t>
      </w:r>
      <w:proofErr w:type="spellEnd"/>
      <w:r w:rsidRPr="00877F05">
        <w:rPr>
          <w:rFonts w:ascii="Calibri" w:hAnsi="Calibri" w:cs="Arial"/>
          <w:bCs/>
        </w:rPr>
        <w:t>), znacznie przyspieszające oczyszczanie gruntu i ścieków z węglowodorów.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53"/>
        <w:gridCol w:w="914"/>
        <w:gridCol w:w="143"/>
        <w:gridCol w:w="6611"/>
      </w:tblGrid>
      <w:tr w:rsidR="001C77EC" w:rsidRPr="00C038DA" w14:paraId="3077C3DD" w14:textId="77777777" w:rsidTr="005338D0">
        <w:trPr>
          <w:trHeight w:val="449"/>
        </w:trPr>
        <w:tc>
          <w:tcPr>
            <w:tcW w:w="2122" w:type="dxa"/>
          </w:tcPr>
          <w:p w14:paraId="45CFDE8D" w14:textId="77777777" w:rsidR="001C77EC" w:rsidRPr="00C038DA" w:rsidRDefault="001C77EC" w:rsidP="0094069D">
            <w:pPr>
              <w:pStyle w:val="Nagwek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noProof/>
                <w:sz w:val="18"/>
              </w:rPr>
              <w:drawing>
                <wp:inline distT="0" distB="0" distL="0" distR="0" wp14:anchorId="7DA1D018" wp14:editId="0668B830">
                  <wp:extent cx="1183324" cy="257175"/>
                  <wp:effectExtent l="0" t="0" r="0" b="0"/>
                  <wp:docPr id="5" name="Obraz 4" descr="phyto2energy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phyto2energy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43" cy="257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  <w:vAlign w:val="center"/>
          </w:tcPr>
          <w:p w14:paraId="5299ADF3" w14:textId="77777777" w:rsidR="001C77EC" w:rsidRPr="00C038DA" w:rsidRDefault="001C77EC" w:rsidP="0094069D">
            <w:pPr>
              <w:pStyle w:val="Nagwek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noProof/>
                <w:sz w:val="18"/>
              </w:rPr>
              <w:drawing>
                <wp:inline distT="0" distB="0" distL="0" distR="0" wp14:anchorId="323E2DA7" wp14:editId="166A39BC">
                  <wp:extent cx="384175" cy="384175"/>
                  <wp:effectExtent l="19050" t="0" r="0" b="0"/>
                  <wp:docPr id="2" name="Obraz 7" descr="sqrs_logo_MarieCu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sqrs_logo_MarieCur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9" w:type="dxa"/>
            <w:gridSpan w:val="2"/>
            <w:vAlign w:val="center"/>
          </w:tcPr>
          <w:p w14:paraId="2E9BF7A2" w14:textId="37EB379D" w:rsidR="001C77EC" w:rsidRPr="001A5F9E" w:rsidRDefault="001C77EC" w:rsidP="001A5F9E">
            <w:pPr>
              <w:pStyle w:val="Nagwek"/>
              <w:jc w:val="center"/>
              <w:rPr>
                <w:rFonts w:ascii="Calibri" w:hAnsi="Calibri"/>
                <w:b/>
                <w:sz w:val="18"/>
              </w:rPr>
            </w:pPr>
            <w:r w:rsidRPr="001A5F9E">
              <w:rPr>
                <w:rFonts w:ascii="Calibri" w:hAnsi="Calibri"/>
                <w:b/>
                <w:sz w:val="20"/>
                <w:lang w:eastAsia="pl-PL"/>
              </w:rPr>
              <w:t xml:space="preserve">Zastosowanie procesu </w:t>
            </w:r>
            <w:proofErr w:type="spellStart"/>
            <w:r w:rsidRPr="001A5F9E">
              <w:rPr>
                <w:rFonts w:ascii="Calibri" w:hAnsi="Calibri"/>
                <w:b/>
                <w:sz w:val="20"/>
                <w:lang w:eastAsia="pl-PL"/>
              </w:rPr>
              <w:t>fitoremediacji</w:t>
            </w:r>
            <w:proofErr w:type="spellEnd"/>
            <w:r w:rsidRPr="001A5F9E">
              <w:rPr>
                <w:rFonts w:ascii="Calibri" w:hAnsi="Calibri"/>
                <w:b/>
                <w:sz w:val="20"/>
                <w:lang w:eastAsia="pl-PL"/>
              </w:rPr>
              <w:t xml:space="preserve"> w produkcji plonu energetycznego</w:t>
            </w:r>
            <w:r w:rsidR="001A5F9E" w:rsidRPr="001A5F9E">
              <w:rPr>
                <w:rFonts w:ascii="Calibri" w:hAnsi="Calibri"/>
                <w:b/>
                <w:sz w:val="20"/>
                <w:lang w:eastAsia="pl-PL"/>
              </w:rPr>
              <w:t xml:space="preserve"> </w:t>
            </w:r>
            <w:r w:rsidRPr="001A5F9E">
              <w:rPr>
                <w:rFonts w:ascii="Calibri" w:hAnsi="Calibri"/>
                <w:b/>
                <w:sz w:val="20"/>
                <w:lang w:eastAsia="pl-PL"/>
              </w:rPr>
              <w:t>na</w:t>
            </w:r>
            <w:r w:rsidR="001A5F9E">
              <w:rPr>
                <w:rFonts w:ascii="Calibri" w:hAnsi="Calibri"/>
                <w:b/>
                <w:sz w:val="20"/>
                <w:lang w:eastAsia="pl-PL"/>
              </w:rPr>
              <w:t> </w:t>
            </w:r>
            <w:r w:rsidRPr="001A5F9E">
              <w:rPr>
                <w:rFonts w:ascii="Calibri" w:hAnsi="Calibri"/>
                <w:b/>
                <w:sz w:val="20"/>
                <w:lang w:eastAsia="pl-PL"/>
              </w:rPr>
              <w:t>terenach zanieczyszczonych metalami ciężkimi jako lokalnego źródła energii</w:t>
            </w:r>
          </w:p>
        </w:tc>
      </w:tr>
      <w:tr w:rsidR="001C77EC" w:rsidRPr="00C038DA" w14:paraId="2E05ED09" w14:textId="77777777" w:rsidTr="005338D0">
        <w:trPr>
          <w:trHeight w:val="449"/>
        </w:trPr>
        <w:tc>
          <w:tcPr>
            <w:tcW w:w="9855" w:type="dxa"/>
            <w:gridSpan w:val="4"/>
            <w:shd w:val="clear" w:color="auto" w:fill="D9D9D9" w:themeFill="background1" w:themeFillShade="D9"/>
          </w:tcPr>
          <w:p w14:paraId="38F1C456" w14:textId="5DA0C382" w:rsidR="001C77EC" w:rsidRPr="00C038DA" w:rsidRDefault="001C77EC" w:rsidP="001A5F9E">
            <w:pPr>
              <w:spacing w:after="0"/>
              <w:jc w:val="center"/>
              <w:rPr>
                <w:rFonts w:ascii="Calibri" w:hAnsi="Calibri"/>
                <w:sz w:val="18"/>
                <w:lang w:eastAsia="pl-PL"/>
              </w:rPr>
            </w:pPr>
            <w:r w:rsidRPr="001A5F9E">
              <w:rPr>
                <w:rFonts w:ascii="Calibri" w:hAnsi="Calibri" w:cs="Arial"/>
                <w:sz w:val="20"/>
              </w:rPr>
              <w:t>Projekt finansowany jest z 7. Programu Ramowego Badań i Rozwoju Technologicznego Unii Europejskiej w ramach</w:t>
            </w:r>
            <w:r w:rsidR="001A5F9E">
              <w:rPr>
                <w:rFonts w:ascii="Calibri" w:hAnsi="Calibri" w:cs="Arial"/>
                <w:sz w:val="20"/>
              </w:rPr>
              <w:t> </w:t>
            </w:r>
            <w:r w:rsidRPr="001A5F9E">
              <w:rPr>
                <w:rFonts w:ascii="Calibri" w:hAnsi="Calibri" w:cs="Arial"/>
                <w:sz w:val="20"/>
              </w:rPr>
              <w:t>Działań Marie Curie-Skłodowskiej.</w:t>
            </w:r>
          </w:p>
        </w:tc>
      </w:tr>
      <w:tr w:rsidR="005338D0" w:rsidRPr="00C038DA" w14:paraId="02801FF0" w14:textId="77777777" w:rsidTr="004612CA">
        <w:trPr>
          <w:trHeight w:val="449"/>
        </w:trPr>
        <w:tc>
          <w:tcPr>
            <w:tcW w:w="9855" w:type="dxa"/>
            <w:gridSpan w:val="4"/>
            <w:shd w:val="clear" w:color="auto" w:fill="auto"/>
          </w:tcPr>
          <w:p w14:paraId="178FCB8A" w14:textId="77777777" w:rsidR="005338D0" w:rsidRPr="001A5F9E" w:rsidRDefault="005338D0" w:rsidP="001A5F9E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58401F" w:rsidRPr="00C038DA" w14:paraId="27A827AC" w14:textId="77777777" w:rsidTr="0058401F">
        <w:trPr>
          <w:trHeight w:val="449"/>
        </w:trPr>
        <w:tc>
          <w:tcPr>
            <w:tcW w:w="3119" w:type="dxa"/>
            <w:gridSpan w:val="3"/>
          </w:tcPr>
          <w:p w14:paraId="3F1EBFDD" w14:textId="39AE7054" w:rsidR="0058401F" w:rsidRPr="001A5F9E" w:rsidRDefault="0058401F" w:rsidP="001A5F9E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drawing>
                <wp:inline distT="0" distB="0" distL="0" distR="0" wp14:anchorId="74181184" wp14:editId="279EB46F">
                  <wp:extent cx="1924050" cy="494346"/>
                  <wp:effectExtent l="0" t="0" r="0" b="127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iscomar_logo_v_01-03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743" cy="50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vAlign w:val="center"/>
          </w:tcPr>
          <w:p w14:paraId="649AF4A4" w14:textId="1588968A" w:rsidR="0058401F" w:rsidRPr="001A5F9E" w:rsidRDefault="0058401F" w:rsidP="0058401F">
            <w:pPr>
              <w:pStyle w:val="Nagwek"/>
              <w:jc w:val="center"/>
              <w:rPr>
                <w:rFonts w:ascii="Calibri" w:hAnsi="Calibri" w:cs="Arial"/>
                <w:sz w:val="20"/>
              </w:rPr>
            </w:pPr>
            <w:r w:rsidRPr="001A5F9E">
              <w:rPr>
                <w:rFonts w:ascii="Calibri" w:hAnsi="Calibri"/>
                <w:b/>
                <w:sz w:val="20"/>
                <w:lang w:eastAsia="pl-PL"/>
              </w:rPr>
              <w:t xml:space="preserve">Produkcja biomasy </w:t>
            </w:r>
            <w:proofErr w:type="spellStart"/>
            <w:r w:rsidRPr="001A5F9E">
              <w:rPr>
                <w:rFonts w:ascii="Calibri" w:hAnsi="Calibri"/>
                <w:b/>
                <w:sz w:val="20"/>
                <w:lang w:eastAsia="pl-PL"/>
              </w:rPr>
              <w:t>miskanta</w:t>
            </w:r>
            <w:proofErr w:type="spellEnd"/>
            <w:r w:rsidRPr="001A5F9E">
              <w:rPr>
                <w:rFonts w:ascii="Calibri" w:hAnsi="Calibri"/>
                <w:b/>
                <w:sz w:val="20"/>
                <w:lang w:eastAsia="pl-PL"/>
              </w:rPr>
              <w:t xml:space="preserve"> jako alternatywa dla obszarów zanieczyszczonych i odłogowanych; jakość, ilość oraz wpływ na glebę</w:t>
            </w:r>
          </w:p>
        </w:tc>
      </w:tr>
      <w:tr w:rsidR="001A5F9E" w:rsidRPr="00C038DA" w14:paraId="558566ED" w14:textId="77777777" w:rsidTr="005338D0">
        <w:trPr>
          <w:trHeight w:val="449"/>
        </w:trPr>
        <w:tc>
          <w:tcPr>
            <w:tcW w:w="9855" w:type="dxa"/>
            <w:gridSpan w:val="4"/>
          </w:tcPr>
          <w:p w14:paraId="3FD47B27" w14:textId="388BB21F" w:rsidR="001A5F9E" w:rsidRPr="001A5F9E" w:rsidRDefault="001A5F9E" w:rsidP="001A5F9E">
            <w:pPr>
              <w:spacing w:after="0"/>
              <w:jc w:val="center"/>
              <w:rPr>
                <w:rFonts w:ascii="Calibri" w:hAnsi="Calibri"/>
                <w:b/>
                <w:sz w:val="20"/>
                <w:lang w:eastAsia="pl-PL"/>
              </w:rPr>
            </w:pPr>
            <w:r w:rsidRPr="00BB5368">
              <w:rPr>
                <w:rFonts w:cs="Arial"/>
                <w:noProof/>
                <w:lang w:val="en-GB" w:eastAsia="en-GB"/>
              </w:rPr>
              <w:drawing>
                <wp:inline distT="0" distB="0" distL="0" distR="0" wp14:anchorId="623D1C5C" wp14:editId="5D75F21A">
                  <wp:extent cx="4667250" cy="426452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ieta_Miscomar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9234" cy="452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F9E" w:rsidRPr="00C038DA" w14:paraId="04159B13" w14:textId="77777777" w:rsidTr="005338D0">
        <w:trPr>
          <w:trHeight w:val="449"/>
        </w:trPr>
        <w:tc>
          <w:tcPr>
            <w:tcW w:w="9855" w:type="dxa"/>
            <w:gridSpan w:val="4"/>
            <w:shd w:val="clear" w:color="auto" w:fill="D9D9D9" w:themeFill="background1" w:themeFillShade="D9"/>
          </w:tcPr>
          <w:p w14:paraId="13FDA0FC" w14:textId="2B3532F3" w:rsidR="001A5F9E" w:rsidRPr="001A5F9E" w:rsidRDefault="001A5F9E" w:rsidP="001A5F9E">
            <w:pPr>
              <w:spacing w:after="0"/>
              <w:jc w:val="center"/>
              <w:rPr>
                <w:rFonts w:cs="Arial"/>
                <w:noProof/>
                <w:lang w:eastAsia="en-GB"/>
              </w:rPr>
            </w:pPr>
            <w:r w:rsidRPr="001A5F9E">
              <w:rPr>
                <w:sz w:val="20"/>
              </w:rPr>
              <w:t xml:space="preserve">Projekt realizowany jest w ramach programu FACCE SURPLUS, a środki finansowe na polską część pochodzą z </w:t>
            </w:r>
            <w:proofErr w:type="spellStart"/>
            <w:r w:rsidRPr="001A5F9E">
              <w:rPr>
                <w:sz w:val="20"/>
              </w:rPr>
              <w:t>NCBiR</w:t>
            </w:r>
            <w:proofErr w:type="spellEnd"/>
          </w:p>
        </w:tc>
      </w:tr>
    </w:tbl>
    <w:p w14:paraId="41DB9D58" w14:textId="77777777" w:rsidR="001C77EC" w:rsidRDefault="001C77EC" w:rsidP="0059216D">
      <w:pPr>
        <w:spacing w:after="120"/>
        <w:rPr>
          <w:rFonts w:ascii="Calibri" w:hAnsi="Calibri" w:cs="Arial"/>
        </w:rPr>
      </w:pPr>
    </w:p>
    <w:sectPr w:rsidR="001C77EC" w:rsidSect="007203D2">
      <w:headerReference w:type="default" r:id="rId19"/>
      <w:pgSz w:w="11906" w:h="16838" w:code="9"/>
      <w:pgMar w:top="1134" w:right="851" w:bottom="709" w:left="1134" w:header="0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1C575" w14:textId="77777777" w:rsidR="0025693B" w:rsidRDefault="0025693B" w:rsidP="00910751">
      <w:pPr>
        <w:spacing w:after="0" w:line="240" w:lineRule="auto"/>
      </w:pPr>
      <w:r>
        <w:separator/>
      </w:r>
    </w:p>
  </w:endnote>
  <w:endnote w:type="continuationSeparator" w:id="0">
    <w:p w14:paraId="7311EB4C" w14:textId="77777777" w:rsidR="0025693B" w:rsidRDefault="0025693B" w:rsidP="0091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369836"/>
      <w:docPartObj>
        <w:docPartGallery w:val="Page Numbers (Bottom of Page)"/>
        <w:docPartUnique/>
      </w:docPartObj>
    </w:sdtPr>
    <w:sdtEndPr/>
    <w:sdtContent>
      <w:p w14:paraId="332DC09C" w14:textId="77777777" w:rsidR="005F133F" w:rsidRDefault="005F133F" w:rsidP="00E4650F">
        <w:pPr>
          <w:pStyle w:val="Stopka"/>
          <w:jc w:val="both"/>
        </w:pPr>
      </w:p>
      <w:p w14:paraId="7D42E8D3" w14:textId="77777777" w:rsidR="005F133F" w:rsidRDefault="0025693B" w:rsidP="00E4650F">
        <w:pPr>
          <w:pStyle w:val="Stopka"/>
          <w:tabs>
            <w:tab w:val="left" w:pos="1365"/>
            <w:tab w:val="right" w:pos="9921"/>
          </w:tabs>
        </w:pPr>
      </w:p>
    </w:sdtContent>
  </w:sdt>
  <w:p w14:paraId="0AEAE3C9" w14:textId="6BCF49B9" w:rsidR="005F133F" w:rsidRPr="00243F3B" w:rsidRDefault="005F133F" w:rsidP="00243F3B">
    <w:pPr>
      <w:pStyle w:val="Stopka"/>
      <w:tabs>
        <w:tab w:val="left" w:pos="1365"/>
        <w:tab w:val="right" w:pos="9921"/>
      </w:tabs>
      <w:jc w:val="right"/>
    </w:pPr>
    <w:r w:rsidRPr="00243F3B">
      <w:rPr>
        <w:rFonts w:eastAsiaTheme="majorEastAsia" w:cstheme="majorBidi"/>
      </w:rPr>
      <w:t xml:space="preserve">str. </w:t>
    </w:r>
    <w:r w:rsidRPr="00243F3B">
      <w:rPr>
        <w:rFonts w:eastAsiaTheme="minorEastAsia"/>
      </w:rPr>
      <w:fldChar w:fldCharType="begin"/>
    </w:r>
    <w:r w:rsidRPr="00243F3B">
      <w:instrText>PAGE    \* MERGEFORMAT</w:instrText>
    </w:r>
    <w:r w:rsidRPr="00243F3B">
      <w:rPr>
        <w:rFonts w:eastAsiaTheme="minorEastAsia"/>
      </w:rPr>
      <w:fldChar w:fldCharType="separate"/>
    </w:r>
    <w:r w:rsidR="00507EED" w:rsidRPr="00507EED">
      <w:rPr>
        <w:rFonts w:eastAsiaTheme="majorEastAsia" w:cstheme="majorBidi"/>
        <w:noProof/>
      </w:rPr>
      <w:t>3</w:t>
    </w:r>
    <w:r w:rsidRPr="00243F3B">
      <w:rPr>
        <w:rFonts w:eastAsiaTheme="majorEastAsia" w:cstheme="majorBid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8C682" w14:textId="77777777" w:rsidR="005F133F" w:rsidRDefault="005F133F">
    <w:pPr>
      <w:pStyle w:val="Stopka"/>
    </w:pPr>
    <w:r>
      <w:rPr>
        <w:noProof/>
        <w:lang w:eastAsia="pl-PL"/>
      </w:rPr>
      <w:drawing>
        <wp:inline distT="0" distB="0" distL="0" distR="0" wp14:anchorId="3698A187" wp14:editId="18798CCA">
          <wp:extent cx="6299835" cy="771782"/>
          <wp:effectExtent l="0" t="0" r="5715" b="9525"/>
          <wp:docPr id="330" name="Obraz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771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6500B" w14:textId="77777777" w:rsidR="0025693B" w:rsidRDefault="0025693B" w:rsidP="00910751">
      <w:pPr>
        <w:spacing w:after="0" w:line="240" w:lineRule="auto"/>
      </w:pPr>
      <w:r>
        <w:separator/>
      </w:r>
    </w:p>
  </w:footnote>
  <w:footnote w:type="continuationSeparator" w:id="0">
    <w:p w14:paraId="7D9239E7" w14:textId="77777777" w:rsidR="0025693B" w:rsidRDefault="0025693B" w:rsidP="0091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92031" w14:textId="68A9A326" w:rsidR="00583966" w:rsidRDefault="00583966">
    <w:pPr>
      <w:pStyle w:val="Nagwek"/>
    </w:pPr>
  </w:p>
  <w:p w14:paraId="4EE4C7AA" w14:textId="52B161BB" w:rsidR="00583966" w:rsidRDefault="00583966">
    <w:pPr>
      <w:pStyle w:val="Nagwek"/>
    </w:pPr>
  </w:p>
  <w:p w14:paraId="79FF35F2" w14:textId="5B143B36" w:rsidR="00583966" w:rsidRPr="00583966" w:rsidRDefault="00583966" w:rsidP="00583966">
    <w:pPr>
      <w:pStyle w:val="Nagwek"/>
      <w:jc w:val="right"/>
      <w:rPr>
        <w:b/>
      </w:rPr>
    </w:pPr>
    <w:r w:rsidRPr="00583966">
      <w:rPr>
        <w:b/>
      </w:rPr>
      <w:t>Informacja dla dziennikarzy</w:t>
    </w:r>
  </w:p>
  <w:p w14:paraId="32305FDC" w14:textId="51776E31" w:rsidR="00583966" w:rsidRDefault="00583966" w:rsidP="00583966">
    <w:pPr>
      <w:pStyle w:val="Nagwek"/>
      <w:pBdr>
        <w:bottom w:val="single" w:sz="6" w:space="1" w:color="auto"/>
      </w:pBdr>
      <w:spacing w:after="360"/>
      <w:jc w:val="right"/>
    </w:pPr>
    <w:r>
      <w:t>15 lutego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7480C" w14:textId="77777777" w:rsidR="005F133F" w:rsidRDefault="005F133F">
    <w:pPr>
      <w:pStyle w:val="Nagwek"/>
    </w:pPr>
    <w:r>
      <w:rPr>
        <w:noProof/>
        <w:lang w:eastAsia="pl-PL"/>
      </w:rPr>
      <w:drawing>
        <wp:inline distT="0" distB="0" distL="0" distR="0" wp14:anchorId="3382CA1E" wp14:editId="3B90A1B6">
          <wp:extent cx="6283078" cy="1146412"/>
          <wp:effectExtent l="0" t="0" r="3810" b="0"/>
          <wp:docPr id="329" name="Obraz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6329"/>
                  <a:stretch/>
                </pic:blipFill>
                <pic:spPr bwMode="auto">
                  <a:xfrm>
                    <a:off x="0" y="0"/>
                    <a:ext cx="6296132" cy="11487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CC93F" w14:textId="77777777" w:rsidR="00583966" w:rsidRDefault="00583966" w:rsidP="00583966">
    <w:pPr>
      <w:pStyle w:val="Nagwek"/>
    </w:pPr>
  </w:p>
  <w:p w14:paraId="4AB153FF" w14:textId="77777777" w:rsidR="00583966" w:rsidRDefault="00583966" w:rsidP="00583966">
    <w:pPr>
      <w:pStyle w:val="Nagwek"/>
    </w:pPr>
  </w:p>
  <w:p w14:paraId="0FF03CE0" w14:textId="77777777" w:rsidR="00583966" w:rsidRPr="00583966" w:rsidRDefault="00583966" w:rsidP="00583966">
    <w:pPr>
      <w:pStyle w:val="Nagwek"/>
      <w:jc w:val="right"/>
      <w:rPr>
        <w:b/>
      </w:rPr>
    </w:pPr>
    <w:r w:rsidRPr="00583966">
      <w:rPr>
        <w:b/>
      </w:rPr>
      <w:t>Informacja dla dziennikarzy</w:t>
    </w:r>
  </w:p>
  <w:p w14:paraId="0E5C0BAF" w14:textId="77777777" w:rsidR="00583966" w:rsidRDefault="00583966" w:rsidP="00583966">
    <w:pPr>
      <w:pStyle w:val="Nagwek"/>
      <w:pBdr>
        <w:bottom w:val="single" w:sz="6" w:space="1" w:color="auto"/>
      </w:pBdr>
      <w:spacing w:after="360"/>
      <w:jc w:val="right"/>
    </w:pPr>
    <w:r>
      <w:t>15 lutego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D1B8C"/>
    <w:multiLevelType w:val="hybridMultilevel"/>
    <w:tmpl w:val="222EC6A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51"/>
    <w:rsid w:val="00015462"/>
    <w:rsid w:val="00015B03"/>
    <w:rsid w:val="0002343E"/>
    <w:rsid w:val="00024425"/>
    <w:rsid w:val="00024C54"/>
    <w:rsid w:val="000303BC"/>
    <w:rsid w:val="00033E0F"/>
    <w:rsid w:val="0007526E"/>
    <w:rsid w:val="000757C1"/>
    <w:rsid w:val="000851D8"/>
    <w:rsid w:val="00090910"/>
    <w:rsid w:val="000A0B28"/>
    <w:rsid w:val="000B3D00"/>
    <w:rsid w:val="000C1690"/>
    <w:rsid w:val="000C32C2"/>
    <w:rsid w:val="000D0F93"/>
    <w:rsid w:val="000E0432"/>
    <w:rsid w:val="000E4701"/>
    <w:rsid w:val="000E6089"/>
    <w:rsid w:val="000F02B5"/>
    <w:rsid w:val="000F3A61"/>
    <w:rsid w:val="001331E1"/>
    <w:rsid w:val="001559E7"/>
    <w:rsid w:val="00156EAA"/>
    <w:rsid w:val="00160C86"/>
    <w:rsid w:val="001627DC"/>
    <w:rsid w:val="0016690B"/>
    <w:rsid w:val="001772D8"/>
    <w:rsid w:val="00182438"/>
    <w:rsid w:val="0018634E"/>
    <w:rsid w:val="001972E8"/>
    <w:rsid w:val="001A1B7B"/>
    <w:rsid w:val="001A4C03"/>
    <w:rsid w:val="001A5F9E"/>
    <w:rsid w:val="001B03CA"/>
    <w:rsid w:val="001C77EC"/>
    <w:rsid w:val="001E1EB9"/>
    <w:rsid w:val="001E3BEE"/>
    <w:rsid w:val="001F34D0"/>
    <w:rsid w:val="002221F4"/>
    <w:rsid w:val="002308E4"/>
    <w:rsid w:val="002327B0"/>
    <w:rsid w:val="00243F3B"/>
    <w:rsid w:val="0025693B"/>
    <w:rsid w:val="0025758A"/>
    <w:rsid w:val="00282212"/>
    <w:rsid w:val="00282AEB"/>
    <w:rsid w:val="00283C35"/>
    <w:rsid w:val="00285E6E"/>
    <w:rsid w:val="002948C8"/>
    <w:rsid w:val="002D344B"/>
    <w:rsid w:val="002E003F"/>
    <w:rsid w:val="00302424"/>
    <w:rsid w:val="00314A59"/>
    <w:rsid w:val="00322805"/>
    <w:rsid w:val="003328EE"/>
    <w:rsid w:val="00333CE2"/>
    <w:rsid w:val="00356CDC"/>
    <w:rsid w:val="003674D0"/>
    <w:rsid w:val="00380F7F"/>
    <w:rsid w:val="003A4FDC"/>
    <w:rsid w:val="003B69FF"/>
    <w:rsid w:val="003C63FC"/>
    <w:rsid w:val="00414E31"/>
    <w:rsid w:val="00422CB7"/>
    <w:rsid w:val="00424B3C"/>
    <w:rsid w:val="00443B2B"/>
    <w:rsid w:val="00444FEF"/>
    <w:rsid w:val="004612CA"/>
    <w:rsid w:val="004716AA"/>
    <w:rsid w:val="00471A79"/>
    <w:rsid w:val="0048657D"/>
    <w:rsid w:val="0049419F"/>
    <w:rsid w:val="00497952"/>
    <w:rsid w:val="004B7A10"/>
    <w:rsid w:val="004B7B8D"/>
    <w:rsid w:val="004C6400"/>
    <w:rsid w:val="004C6794"/>
    <w:rsid w:val="00507EED"/>
    <w:rsid w:val="00510C85"/>
    <w:rsid w:val="00527DA3"/>
    <w:rsid w:val="0053054B"/>
    <w:rsid w:val="005338D0"/>
    <w:rsid w:val="005346F7"/>
    <w:rsid w:val="00546480"/>
    <w:rsid w:val="0054709D"/>
    <w:rsid w:val="00553E12"/>
    <w:rsid w:val="005554E3"/>
    <w:rsid w:val="0056441A"/>
    <w:rsid w:val="005657EB"/>
    <w:rsid w:val="00581FD1"/>
    <w:rsid w:val="00583966"/>
    <w:rsid w:val="0058401F"/>
    <w:rsid w:val="005904CD"/>
    <w:rsid w:val="00591CA0"/>
    <w:rsid w:val="0059216D"/>
    <w:rsid w:val="005B0C9C"/>
    <w:rsid w:val="005B3DED"/>
    <w:rsid w:val="005B54AD"/>
    <w:rsid w:val="005D7399"/>
    <w:rsid w:val="005F133F"/>
    <w:rsid w:val="005F743E"/>
    <w:rsid w:val="00616796"/>
    <w:rsid w:val="00624FD2"/>
    <w:rsid w:val="0062603C"/>
    <w:rsid w:val="00671D0D"/>
    <w:rsid w:val="006829D0"/>
    <w:rsid w:val="0069039B"/>
    <w:rsid w:val="006A4A54"/>
    <w:rsid w:val="006A684D"/>
    <w:rsid w:val="006D0D70"/>
    <w:rsid w:val="006D25D1"/>
    <w:rsid w:val="006D5136"/>
    <w:rsid w:val="006D5864"/>
    <w:rsid w:val="007024D9"/>
    <w:rsid w:val="00705AE6"/>
    <w:rsid w:val="00710270"/>
    <w:rsid w:val="007143C4"/>
    <w:rsid w:val="00717914"/>
    <w:rsid w:val="007203D2"/>
    <w:rsid w:val="00734354"/>
    <w:rsid w:val="00746788"/>
    <w:rsid w:val="00754312"/>
    <w:rsid w:val="007569FC"/>
    <w:rsid w:val="007825F1"/>
    <w:rsid w:val="00797CED"/>
    <w:rsid w:val="007A19DF"/>
    <w:rsid w:val="007A5112"/>
    <w:rsid w:val="007D14D5"/>
    <w:rsid w:val="007E3148"/>
    <w:rsid w:val="007F1BDE"/>
    <w:rsid w:val="007F3BE4"/>
    <w:rsid w:val="0081171F"/>
    <w:rsid w:val="00832BEA"/>
    <w:rsid w:val="008677BF"/>
    <w:rsid w:val="00871D3C"/>
    <w:rsid w:val="008742F4"/>
    <w:rsid w:val="008A0A61"/>
    <w:rsid w:val="008A75B2"/>
    <w:rsid w:val="008D0FE4"/>
    <w:rsid w:val="008D681E"/>
    <w:rsid w:val="008F3312"/>
    <w:rsid w:val="008F410D"/>
    <w:rsid w:val="00910751"/>
    <w:rsid w:val="00915599"/>
    <w:rsid w:val="00922581"/>
    <w:rsid w:val="00927565"/>
    <w:rsid w:val="009408CB"/>
    <w:rsid w:val="00940B2F"/>
    <w:rsid w:val="00941AF2"/>
    <w:rsid w:val="009462C6"/>
    <w:rsid w:val="00946974"/>
    <w:rsid w:val="009637BE"/>
    <w:rsid w:val="00966991"/>
    <w:rsid w:val="00976864"/>
    <w:rsid w:val="00980988"/>
    <w:rsid w:val="009817C7"/>
    <w:rsid w:val="009B0EF7"/>
    <w:rsid w:val="009D4EB1"/>
    <w:rsid w:val="009D4EC5"/>
    <w:rsid w:val="009E3332"/>
    <w:rsid w:val="009E4414"/>
    <w:rsid w:val="009E78A6"/>
    <w:rsid w:val="00A0332C"/>
    <w:rsid w:val="00A3232D"/>
    <w:rsid w:val="00A375AB"/>
    <w:rsid w:val="00A7013B"/>
    <w:rsid w:val="00A728B7"/>
    <w:rsid w:val="00AA72D8"/>
    <w:rsid w:val="00AB2A0D"/>
    <w:rsid w:val="00AC4876"/>
    <w:rsid w:val="00AC7741"/>
    <w:rsid w:val="00B03E98"/>
    <w:rsid w:val="00B05FD0"/>
    <w:rsid w:val="00B1679F"/>
    <w:rsid w:val="00B33EFC"/>
    <w:rsid w:val="00B34A26"/>
    <w:rsid w:val="00B4084F"/>
    <w:rsid w:val="00B429A5"/>
    <w:rsid w:val="00B4356B"/>
    <w:rsid w:val="00B460AB"/>
    <w:rsid w:val="00B57FA9"/>
    <w:rsid w:val="00B62D91"/>
    <w:rsid w:val="00B66458"/>
    <w:rsid w:val="00B75E8F"/>
    <w:rsid w:val="00B80857"/>
    <w:rsid w:val="00B92ADE"/>
    <w:rsid w:val="00BA0C02"/>
    <w:rsid w:val="00BA11BF"/>
    <w:rsid w:val="00BA4493"/>
    <w:rsid w:val="00BC7A2F"/>
    <w:rsid w:val="00BD1CE3"/>
    <w:rsid w:val="00BE3BB9"/>
    <w:rsid w:val="00BF4F60"/>
    <w:rsid w:val="00BF709F"/>
    <w:rsid w:val="00C07749"/>
    <w:rsid w:val="00C07A23"/>
    <w:rsid w:val="00C360D6"/>
    <w:rsid w:val="00C405FD"/>
    <w:rsid w:val="00C447F6"/>
    <w:rsid w:val="00C4586E"/>
    <w:rsid w:val="00C64E82"/>
    <w:rsid w:val="00C867EC"/>
    <w:rsid w:val="00CA6D3B"/>
    <w:rsid w:val="00CB3216"/>
    <w:rsid w:val="00CC025D"/>
    <w:rsid w:val="00CF18E9"/>
    <w:rsid w:val="00D32591"/>
    <w:rsid w:val="00D422EB"/>
    <w:rsid w:val="00D560DE"/>
    <w:rsid w:val="00D6219F"/>
    <w:rsid w:val="00D65299"/>
    <w:rsid w:val="00D7587E"/>
    <w:rsid w:val="00DA78A8"/>
    <w:rsid w:val="00DC2FF6"/>
    <w:rsid w:val="00E01C13"/>
    <w:rsid w:val="00E06215"/>
    <w:rsid w:val="00E37F92"/>
    <w:rsid w:val="00E4650F"/>
    <w:rsid w:val="00E57AE9"/>
    <w:rsid w:val="00E57B81"/>
    <w:rsid w:val="00E72198"/>
    <w:rsid w:val="00EF1FC6"/>
    <w:rsid w:val="00F2542D"/>
    <w:rsid w:val="00F25847"/>
    <w:rsid w:val="00F308BB"/>
    <w:rsid w:val="00F35C4E"/>
    <w:rsid w:val="00F40614"/>
    <w:rsid w:val="00F508D5"/>
    <w:rsid w:val="00F516F9"/>
    <w:rsid w:val="00F611F4"/>
    <w:rsid w:val="00F86DAD"/>
    <w:rsid w:val="00F942E2"/>
    <w:rsid w:val="00F95FA8"/>
    <w:rsid w:val="00FC2CEC"/>
    <w:rsid w:val="00FC70D6"/>
    <w:rsid w:val="00FD6984"/>
    <w:rsid w:val="00FE2F01"/>
    <w:rsid w:val="00FE7069"/>
    <w:rsid w:val="00FF30F4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D211E"/>
  <w15:docId w15:val="{2BC61E2C-426C-4625-841F-2D001F9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3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10751"/>
  </w:style>
  <w:style w:type="paragraph" w:styleId="Stopka">
    <w:name w:val="footer"/>
    <w:basedOn w:val="Normalny"/>
    <w:link w:val="StopkaZnak"/>
    <w:uiPriority w:val="99"/>
    <w:unhideWhenUsed/>
    <w:rsid w:val="009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751"/>
  </w:style>
  <w:style w:type="paragraph" w:styleId="NormalnyWeb">
    <w:name w:val="Normal (Web)"/>
    <w:basedOn w:val="Normalny"/>
    <w:uiPriority w:val="99"/>
    <w:semiHidden/>
    <w:unhideWhenUsed/>
    <w:rsid w:val="0091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AEB"/>
    <w:rPr>
      <w:rFonts w:ascii="Tahoma" w:hAnsi="Tahoma" w:cs="Tahoma"/>
      <w:sz w:val="16"/>
      <w:szCs w:val="16"/>
    </w:rPr>
  </w:style>
  <w:style w:type="character" w:styleId="Numerwiersza">
    <w:name w:val="line number"/>
    <w:basedOn w:val="Domylnaczcionkaakapitu"/>
    <w:uiPriority w:val="99"/>
    <w:semiHidden/>
    <w:unhideWhenUsed/>
    <w:rsid w:val="00DA78A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67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67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6796"/>
    <w:rPr>
      <w:vertAlign w:val="superscript"/>
    </w:rPr>
  </w:style>
  <w:style w:type="character" w:styleId="Hipercze">
    <w:name w:val="Hyperlink"/>
    <w:basedOn w:val="Domylnaczcionkaakapitu"/>
    <w:unhideWhenUsed/>
    <w:rsid w:val="005B0C9C"/>
    <w:rPr>
      <w:color w:val="0000FF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B57FA9"/>
    <w:rPr>
      <w:color w:val="2B579A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1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C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C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CA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D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285E6E"/>
    <w:pPr>
      <w:spacing w:before="120" w:after="0" w:line="276" w:lineRule="auto"/>
      <w:ind w:firstLine="357"/>
      <w:jc w:val="both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5E6E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85E6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85E6E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285E6E"/>
    <w:pPr>
      <w:spacing w:before="120" w:after="120" w:line="276" w:lineRule="auto"/>
      <w:ind w:firstLine="567"/>
      <w:jc w:val="both"/>
    </w:pPr>
    <w:rPr>
      <w:rFonts w:ascii="Arial" w:eastAsia="Calibri" w:hAnsi="Arial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5E6E"/>
    <w:rPr>
      <w:rFonts w:ascii="Arial" w:eastAsia="Calibri" w:hAnsi="Arial" w:cs="Times New Roman"/>
    </w:rPr>
  </w:style>
  <w:style w:type="paragraph" w:styleId="Akapitzlist">
    <w:name w:val="List Paragraph"/>
    <w:basedOn w:val="Normalny"/>
    <w:uiPriority w:val="34"/>
    <w:qFormat/>
    <w:rsid w:val="00285E6E"/>
    <w:pPr>
      <w:ind w:left="720"/>
      <w:contextualSpacing/>
    </w:pPr>
  </w:style>
  <w:style w:type="paragraph" w:styleId="Poprawka">
    <w:name w:val="Revision"/>
    <w:hidden/>
    <w:uiPriority w:val="99"/>
    <w:semiHidden/>
    <w:rsid w:val="00443B2B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34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9153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to2energy.eu" TargetMode="External"/><Relationship Id="rId13" Type="http://schemas.openxmlformats.org/officeDocument/2006/relationships/footer" Target="footer2.xml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miscomar.eu" TargetMode="External"/><Relationship Id="rId14" Type="http://schemas.openxmlformats.org/officeDocument/2006/relationships/hyperlink" Target="mailto:w.jarosz@iet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ADFC-D292-44E1-A61A-0C41AD3E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1368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IETU</Company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Inmedium</dc:creator>
  <cp:lastModifiedBy>Wanda Jarosz</cp:lastModifiedBy>
  <cp:revision>12</cp:revision>
  <cp:lastPrinted>2018-02-08T09:43:00Z</cp:lastPrinted>
  <dcterms:created xsi:type="dcterms:W3CDTF">2018-02-08T05:47:00Z</dcterms:created>
  <dcterms:modified xsi:type="dcterms:W3CDTF">2018-03-26T13:13:00Z</dcterms:modified>
</cp:coreProperties>
</file>